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28"/>
          <w:szCs w:val="28"/>
        </w:rPr>
      </w:pPr>
      <w:r>
        <w:rPr>
          <w:rFonts w:cs="Times New Roman" w:ascii="Times New Roman" w:hAnsi="Times New Roman"/>
          <w:b/>
          <w:sz w:val="28"/>
          <w:szCs w:val="28"/>
        </w:rPr>
        <w:t>Physico-chemical and biological controls on microbialite formation: experimental biomineralization in open system.</w:t>
      </w:r>
    </w:p>
    <w:p>
      <w:pPr>
        <w:pStyle w:val="Normal"/>
        <w:jc w:val="center"/>
        <w:rPr/>
      </w:pPr>
      <w:r>
        <w:rPr>
          <w:rFonts w:cs="Times New Roman" w:ascii="Times New Roman" w:hAnsi="Times New Roman"/>
          <w:sz w:val="24"/>
          <w:szCs w:val="24"/>
          <w:u w:val="single"/>
        </w:rPr>
        <w:t>E.</w:t>
      </w:r>
      <w:r>
        <w:rPr>
          <w:rFonts w:cs="Times New Roman" w:ascii="Times New Roman" w:hAnsi="Times New Roman"/>
          <w:sz w:val="24"/>
          <w:szCs w:val="24"/>
          <w:u w:val="single"/>
        </w:rPr>
        <w:t xml:space="preserve"> Muller</w:t>
      </w:r>
      <w:r>
        <w:rPr>
          <w:rFonts w:cs="Times New Roman" w:ascii="Times New Roman" w:hAnsi="Times New Roman"/>
          <w:sz w:val="24"/>
          <w:szCs w:val="24"/>
          <w:u w:val="single"/>
          <w:vertAlign w:val="superscript"/>
        </w:rPr>
        <w:t>1,*</w:t>
      </w:r>
      <w:r>
        <w:rPr>
          <w:rFonts w:cs="Times New Roman" w:ascii="Times New Roman" w:hAnsi="Times New Roman"/>
          <w:sz w:val="24"/>
          <w:szCs w:val="24"/>
        </w:rPr>
        <w:t>, K. Benzerara</w:t>
      </w:r>
      <w:r>
        <w:rPr>
          <w:rFonts w:cs="Times New Roman" w:ascii="Times New Roman" w:hAnsi="Times New Roman"/>
          <w:sz w:val="24"/>
          <w:szCs w:val="24"/>
          <w:vertAlign w:val="superscript"/>
        </w:rPr>
        <w:t>1</w:t>
      </w:r>
      <w:r>
        <w:rPr>
          <w:rFonts w:cs="Times New Roman" w:ascii="Times New Roman" w:hAnsi="Times New Roman"/>
          <w:sz w:val="24"/>
          <w:szCs w:val="24"/>
        </w:rPr>
        <w:t>, R. Havas</w:t>
      </w:r>
      <w:r>
        <w:rPr>
          <w:rFonts w:cs="Times New Roman" w:ascii="Times New Roman" w:hAnsi="Times New Roman"/>
          <w:sz w:val="24"/>
          <w:szCs w:val="24"/>
          <w:vertAlign w:val="superscript"/>
        </w:rPr>
        <w:t>2</w:t>
      </w:r>
      <w:r>
        <w:rPr>
          <w:rFonts w:cs="Times New Roman" w:ascii="Times New Roman" w:hAnsi="Times New Roman"/>
          <w:sz w:val="24"/>
          <w:szCs w:val="24"/>
        </w:rPr>
        <w:t>, M. Iniesto</w:t>
      </w:r>
      <w:r>
        <w:rPr>
          <w:rFonts w:cs="Times New Roman" w:ascii="Times New Roman" w:hAnsi="Times New Roman"/>
          <w:sz w:val="24"/>
          <w:szCs w:val="24"/>
          <w:vertAlign w:val="superscript"/>
        </w:rPr>
        <w:t>3</w:t>
      </w:r>
      <w:r>
        <w:rPr>
          <w:rFonts w:cs="Times New Roman" w:ascii="Times New Roman" w:hAnsi="Times New Roman"/>
          <w:sz w:val="24"/>
          <w:szCs w:val="24"/>
        </w:rPr>
        <w:t xml:space="preserve">, </w:t>
      </w:r>
      <w:r>
        <w:rPr>
          <w:rFonts w:cs="Times New Roman" w:ascii="Times New Roman" w:hAnsi="Times New Roman"/>
          <w:w w:val="105"/>
          <w:sz w:val="24"/>
          <w:szCs w:val="24"/>
        </w:rPr>
        <w:t xml:space="preserve">D.Jézéquel </w:t>
      </w:r>
      <w:r>
        <w:rPr>
          <w:rFonts w:cs="Times New Roman" w:ascii="Times New Roman" w:hAnsi="Times New Roman"/>
          <w:w w:val="105"/>
          <w:sz w:val="24"/>
          <w:szCs w:val="24"/>
          <w:vertAlign w:val="superscript"/>
        </w:rPr>
        <w:t>4</w:t>
      </w:r>
      <w:r>
        <w:rPr>
          <w:rFonts w:cs="Times New Roman" w:ascii="Times New Roman" w:hAnsi="Times New Roman"/>
          <w:sz w:val="24"/>
          <w:szCs w:val="24"/>
        </w:rPr>
        <w:t>, P. López-García</w:t>
      </w:r>
      <w:r>
        <w:rPr>
          <w:rFonts w:cs="Times New Roman" w:ascii="Times New Roman" w:hAnsi="Times New Roman"/>
          <w:sz w:val="24"/>
          <w:szCs w:val="24"/>
          <w:vertAlign w:val="superscript"/>
        </w:rPr>
        <w:t>3</w:t>
      </w:r>
      <w:r>
        <w:rPr>
          <w:rFonts w:cs="Times New Roman" w:ascii="Times New Roman" w:hAnsi="Times New Roman"/>
          <w:sz w:val="24"/>
          <w:szCs w:val="24"/>
        </w:rPr>
        <w:t>,</w:t>
      </w:r>
      <w:r>
        <w:rPr>
          <w:rFonts w:cs="Calibri" w:cstheme="minorHAnsi"/>
          <w:w w:val="105"/>
        </w:rPr>
        <w:t xml:space="preserve"> </w:t>
      </w:r>
      <w:r>
        <w:rPr>
          <w:rFonts w:cs="Times New Roman" w:ascii="Times New Roman" w:hAnsi="Times New Roman"/>
          <w:sz w:val="24"/>
          <w:szCs w:val="24"/>
        </w:rPr>
        <w:t>D. Moreira</w:t>
      </w:r>
      <w:r>
        <w:rPr>
          <w:rFonts w:cs="Times New Roman" w:ascii="Times New Roman" w:hAnsi="Times New Roman"/>
          <w:sz w:val="24"/>
          <w:szCs w:val="24"/>
          <w:vertAlign w:val="superscript"/>
        </w:rPr>
        <w:t>3</w:t>
      </w:r>
      <w:r>
        <w:rPr>
          <w:rFonts w:cs="Times New Roman" w:ascii="Times New Roman" w:hAnsi="Times New Roman"/>
          <w:sz w:val="24"/>
          <w:szCs w:val="24"/>
        </w:rPr>
        <w:t>, R. Tavera</w:t>
      </w:r>
      <w:r>
        <w:rPr>
          <w:rFonts w:cs="Times New Roman" w:ascii="Times New Roman" w:hAnsi="Times New Roman"/>
          <w:sz w:val="24"/>
          <w:szCs w:val="24"/>
          <w:vertAlign w:val="superscript"/>
        </w:rPr>
        <w:t>5</w:t>
      </w:r>
      <w:r>
        <w:rPr>
          <w:rFonts w:cs="Times New Roman" w:ascii="Times New Roman" w:hAnsi="Times New Roman"/>
          <w:sz w:val="24"/>
          <w:szCs w:val="24"/>
        </w:rPr>
        <w:t>, C. Thomazo</w:t>
      </w:r>
      <w:r>
        <w:rPr>
          <w:rFonts w:cs="Times New Roman" w:ascii="Times New Roman" w:hAnsi="Times New Roman"/>
          <w:sz w:val="24"/>
          <w:szCs w:val="24"/>
          <w:vertAlign w:val="superscript"/>
        </w:rPr>
        <w:t>2</w:t>
      </w:r>
      <w:r>
        <w:rPr>
          <w:rFonts w:cs="Times New Roman" w:ascii="Times New Roman" w:hAnsi="Times New Roman"/>
          <w:sz w:val="24"/>
          <w:szCs w:val="24"/>
        </w:rPr>
        <w:t>,</w:t>
      </w:r>
      <w:r>
        <w:rPr>
          <w:rFonts w:cs="Calibri" w:cstheme="minorHAnsi"/>
          <w:w w:val="105"/>
        </w:rPr>
        <w:t xml:space="preserve"> </w:t>
      </w:r>
      <w:r>
        <w:rPr>
          <w:rFonts w:cs="Times New Roman" w:ascii="Times New Roman" w:hAnsi="Times New Roman"/>
          <w:sz w:val="24"/>
          <w:szCs w:val="24"/>
        </w:rPr>
        <w:t>E. Vennin</w:t>
      </w:r>
      <w:r>
        <w:rPr>
          <w:rFonts w:cs="Times New Roman" w:ascii="Times New Roman" w:hAnsi="Times New Roman"/>
          <w:sz w:val="24"/>
          <w:szCs w:val="24"/>
          <w:vertAlign w:val="superscript"/>
        </w:rPr>
        <w:t>2</w:t>
      </w:r>
      <w:r>
        <w:rPr>
          <w:rFonts w:cs="Times New Roman" w:ascii="Times New Roman" w:hAnsi="Times New Roman"/>
          <w:sz w:val="24"/>
          <w:szCs w:val="24"/>
        </w:rPr>
        <w:t>, N. Zeyen</w:t>
      </w:r>
      <w:r>
        <w:rPr>
          <w:rFonts w:cs="Times New Roman" w:ascii="Times New Roman" w:hAnsi="Times New Roman"/>
          <w:sz w:val="24"/>
          <w:szCs w:val="24"/>
          <w:vertAlign w:val="superscript"/>
        </w:rPr>
        <w:t>6</w:t>
      </w:r>
    </w:p>
    <w:p>
      <w:pPr>
        <w:pStyle w:val="Normal"/>
        <w:spacing w:before="0" w:after="0"/>
        <w:jc w:val="center"/>
        <w:rPr>
          <w:i/>
          <w:i/>
          <w:iCs/>
        </w:rPr>
      </w:pPr>
      <w:r>
        <w:rPr>
          <w:rFonts w:cs="Times New Roman" w:ascii="Times New Roman" w:hAnsi="Times New Roman"/>
          <w:i/>
          <w:iCs/>
          <w:sz w:val="24"/>
          <w:szCs w:val="24"/>
          <w:vertAlign w:val="superscript"/>
          <w:lang w:val="fr-FR"/>
        </w:rPr>
        <w:t>1</w:t>
      </w:r>
      <w:r>
        <w:rPr>
          <w:rFonts w:cs="Times New Roman" w:ascii="Times New Roman" w:hAnsi="Times New Roman"/>
          <w:i/>
          <w:iCs/>
          <w:sz w:val="24"/>
          <w:szCs w:val="24"/>
          <w:vertAlign w:val="superscript"/>
          <w:lang w:val="fr-FR"/>
        </w:rPr>
        <w:t xml:space="preserve"> </w:t>
      </w:r>
      <w:r>
        <w:rPr>
          <w:rFonts w:cs="Times New Roman" w:ascii="Times New Roman" w:hAnsi="Times New Roman"/>
          <w:i/>
          <w:iCs/>
          <w:sz w:val="24"/>
          <w:szCs w:val="24"/>
          <w:lang w:val="fr-FR"/>
        </w:rPr>
        <w:t>IMPMC, Sorbonne Université, CNRS UMR 7590, MNHN, France</w:t>
      </w:r>
    </w:p>
    <w:p>
      <w:pPr>
        <w:pStyle w:val="Normal"/>
        <w:spacing w:before="0" w:after="0"/>
        <w:jc w:val="center"/>
        <w:rPr>
          <w:i/>
          <w:i/>
          <w:iCs/>
        </w:rPr>
      </w:pPr>
      <w:r>
        <w:rPr>
          <w:rFonts w:cs="Times New Roman" w:ascii="Times New Roman" w:hAnsi="Times New Roman"/>
          <w:i/>
          <w:iCs/>
          <w:sz w:val="24"/>
          <w:szCs w:val="24"/>
          <w:vertAlign w:val="superscript"/>
          <w:lang w:val="fr-FR"/>
        </w:rPr>
        <w:t>2</w:t>
      </w:r>
      <w:r>
        <w:rPr>
          <w:rFonts w:cs="Times New Roman" w:ascii="Times New Roman" w:hAnsi="Times New Roman"/>
          <w:i/>
          <w:iCs/>
          <w:sz w:val="24"/>
          <w:szCs w:val="24"/>
          <w:lang w:val="fr-FR"/>
        </w:rPr>
        <w:t xml:space="preserve"> Biogéosciences, CNRS UMR 6282, Université de Bourgogne Franche-Comté, France</w:t>
      </w:r>
    </w:p>
    <w:p>
      <w:pPr>
        <w:pStyle w:val="Normal"/>
        <w:spacing w:before="0" w:after="0"/>
        <w:jc w:val="center"/>
        <w:rPr>
          <w:i/>
          <w:i/>
          <w:iCs/>
        </w:rPr>
      </w:pPr>
      <w:r>
        <w:rPr>
          <w:rFonts w:cs="Times New Roman" w:ascii="Times New Roman" w:hAnsi="Times New Roman"/>
          <w:i/>
          <w:iCs/>
          <w:sz w:val="24"/>
          <w:szCs w:val="24"/>
          <w:vertAlign w:val="superscript"/>
          <w:lang w:val="fr-FR"/>
        </w:rPr>
        <w:t>3</w:t>
      </w:r>
      <w:r>
        <w:rPr>
          <w:rFonts w:cs="Times New Roman" w:ascii="Times New Roman" w:hAnsi="Times New Roman"/>
          <w:i/>
          <w:iCs/>
          <w:sz w:val="24"/>
          <w:szCs w:val="24"/>
          <w:lang w:val="fr-FR"/>
        </w:rPr>
        <w:t xml:space="preserve"> Unité d’Ecologie, Systématique et Evolution, CNRS UMR 8079, Université Paris Sud, France</w:t>
      </w:r>
    </w:p>
    <w:p>
      <w:pPr>
        <w:pStyle w:val="Normal"/>
        <w:spacing w:before="0" w:after="0"/>
        <w:jc w:val="center"/>
        <w:rPr>
          <w:i/>
          <w:i/>
          <w:iCs/>
        </w:rPr>
      </w:pPr>
      <w:r>
        <w:rPr>
          <w:rFonts w:cs="Times New Roman" w:ascii="Times New Roman" w:hAnsi="Times New Roman"/>
          <w:i/>
          <w:iCs/>
          <w:sz w:val="24"/>
          <w:szCs w:val="24"/>
          <w:vertAlign w:val="superscript"/>
          <w:lang w:val="fr-FR"/>
        </w:rPr>
        <w:t>4</w:t>
      </w:r>
      <w:r>
        <w:rPr>
          <w:rFonts w:cs="Times New Roman" w:ascii="Times New Roman" w:hAnsi="Times New Roman"/>
          <w:i/>
          <w:iCs/>
          <w:sz w:val="24"/>
          <w:szCs w:val="24"/>
          <w:lang w:val="fr-FR"/>
        </w:rPr>
        <w:t xml:space="preserve"> IPGP, CNRS UMR 7154, Université de Paris &amp; UMR CARRTEL, INRAE-USMB, France</w:t>
      </w:r>
    </w:p>
    <w:p>
      <w:pPr>
        <w:pStyle w:val="Normal"/>
        <w:spacing w:before="0" w:after="0"/>
        <w:jc w:val="center"/>
        <w:rPr>
          <w:i/>
          <w:i/>
          <w:iCs/>
        </w:rPr>
      </w:pPr>
      <w:r>
        <w:rPr>
          <w:rFonts w:cs="Times New Roman" w:ascii="Times New Roman" w:hAnsi="Times New Roman"/>
          <w:i/>
          <w:iCs/>
          <w:sz w:val="24"/>
          <w:szCs w:val="24"/>
          <w:vertAlign w:val="superscript"/>
          <w:lang w:val="es-ES"/>
        </w:rPr>
        <w:t>5</w:t>
      </w:r>
      <w:r>
        <w:rPr>
          <w:rFonts w:cs="Times New Roman" w:ascii="Times New Roman" w:hAnsi="Times New Roman"/>
          <w:i/>
          <w:iCs/>
          <w:sz w:val="24"/>
          <w:szCs w:val="24"/>
          <w:lang w:val="es-ES"/>
        </w:rPr>
        <w:t xml:space="preserve"> Departamento de Ecología y Recursos Naturales, Universidad Nacional Autónoma de México, México</w:t>
      </w:r>
    </w:p>
    <w:p>
      <w:pPr>
        <w:pStyle w:val="Normal"/>
        <w:jc w:val="center"/>
        <w:rPr>
          <w:i/>
          <w:i/>
          <w:iCs/>
        </w:rPr>
      </w:pPr>
      <w:r>
        <w:rPr>
          <w:rFonts w:cs="Times New Roman" w:ascii="Times New Roman" w:hAnsi="Times New Roman"/>
          <w:i/>
          <w:iCs/>
          <w:sz w:val="24"/>
          <w:szCs w:val="24"/>
          <w:vertAlign w:val="superscript"/>
        </w:rPr>
        <w:t>6</w:t>
      </w:r>
      <w:r>
        <w:rPr>
          <w:rFonts w:cs="Times New Roman" w:ascii="Times New Roman" w:hAnsi="Times New Roman"/>
          <w:i/>
          <w:iCs/>
          <w:sz w:val="24"/>
          <w:szCs w:val="24"/>
          <w:vertAlign w:val="superscript"/>
        </w:rPr>
        <w:t xml:space="preserve"> </w:t>
      </w:r>
      <w:r>
        <w:rPr>
          <w:rFonts w:cs="Times New Roman" w:ascii="Times New Roman" w:hAnsi="Times New Roman"/>
          <w:i/>
          <w:iCs/>
          <w:sz w:val="24"/>
          <w:szCs w:val="24"/>
        </w:rPr>
        <w:t>Department of Earth and Atmospheric Sciences, University of Alberta, Canada</w:t>
      </w:r>
    </w:p>
    <w:p>
      <w:pPr>
        <w:pStyle w:val="Normal"/>
        <w:rPr/>
      </w:pPr>
      <w:r>
        <w:rPr/>
      </w:r>
    </w:p>
    <w:p>
      <w:pPr>
        <w:pStyle w:val="Normal"/>
        <w:ind w:hanging="0"/>
        <w:jc w:val="both"/>
        <w:rPr/>
      </w:pPr>
      <w:r>
        <w:rPr>
          <w:rFonts w:cs="Times New Roman" w:ascii="Times New Roman" w:hAnsi="Times New Roman"/>
          <w:sz w:val="24"/>
          <w:szCs w:val="24"/>
        </w:rPr>
        <w:t>Continental microbialites form in various environments including freshwater to hypersaline lakes, karstwater streams and hydrothermal springs. In association with this environmental diversity, microbialites show different chemical and mineralogical compositions including various carbonate phases (e.g., hydromagnesite, Mg-calcite, aragonite, monohydrocalcite, dolomite) and authigenic Mg-silicates (e.g., smectite, sepiolite, kerolite). While numerous experimental studies have investigated the role of chemical parameters (e.g., Mg/Ca ratio, [Si] and [Mg]) on carbonates and silicates solubility, the controlling parameters on the precipitation of these minerals still remain elusive. In addition, no systematic studies have assessed the role of biotic factors on mineralization processes. Therefore, there is a crucial need to constrain the biotic and abiotic factors controlling the precipitation of carbonates and silicates in a microbialite forming environment.</w:t>
      </w:r>
    </w:p>
    <w:p>
      <w:pPr>
        <w:pStyle w:val="Normal"/>
        <w:ind w:hanging="0"/>
        <w:jc w:val="both"/>
        <w:rPr/>
      </w:pPr>
      <w:r>
        <w:rPr>
          <w:rFonts w:cs="Times New Roman" w:ascii="Times New Roman" w:hAnsi="Times New Roman"/>
          <w:sz w:val="24"/>
          <w:szCs w:val="24"/>
        </w:rPr>
        <w:t xml:space="preserve">In this study, we set up a flow-through cell which allows to mimic biogeochemical conditions similar to microbialite forming environments. Using this setup, we have two objectives: 1) the effects of Mg/Ca ratio, [Si] and [Mg] on Mg-silicates and carbonates, 2) the impact of the presence of cyanobacterial biofilms on mineral precipitation. The (bio)minerals formed under biotic and abiotic experiments were characterized by SEM, EDX and FTIR analyses and the solution chemistry was analyzed using ICP-OES. Preliminary findings show that under the same solution chemistry, flow conditions induce precipitation of minerals that differ from batch system. In addition, the mineralogical composition in the presence of biofilm was different than in abiotic conditions. Overall, our results will facilitate and improve our understanding of the role of the biogeochemical factors on microbialite mineralogical diversity. </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r>
      <w:bookmarkStart w:id="0" w:name="_GoBack"/>
      <w:bookmarkStart w:id="1" w:name="_GoBack"/>
      <w:bookmarkEnd w:id="1"/>
    </w:p>
    <w:p>
      <w:pPr>
        <w:pStyle w:val="Normal"/>
        <w:spacing w:before="0" w:after="160"/>
        <w:ind w:firstLine="720"/>
        <w:jc w:val="both"/>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8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773b5f"/>
    <w:pPr>
      <w:widowControl/>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254dfa"/>
    <w:rPr>
      <w:sz w:val="16"/>
      <w:szCs w:val="16"/>
    </w:rPr>
  </w:style>
  <w:style w:type="character" w:styleId="CommentaireCar" w:customStyle="1">
    <w:name w:val="Commentaire Car"/>
    <w:basedOn w:val="DefaultParagraphFont"/>
    <w:link w:val="Commentaire"/>
    <w:uiPriority w:val="99"/>
    <w:semiHidden/>
    <w:qFormat/>
    <w:rsid w:val="00254dfa"/>
    <w:rPr>
      <w:sz w:val="20"/>
      <w:szCs w:val="20"/>
    </w:rPr>
  </w:style>
  <w:style w:type="character" w:styleId="ObjetducommentaireCar" w:customStyle="1">
    <w:name w:val="Objet du commentaire Car"/>
    <w:basedOn w:val="CommentaireCar"/>
    <w:link w:val="Objetducommentaire"/>
    <w:uiPriority w:val="99"/>
    <w:semiHidden/>
    <w:qFormat/>
    <w:rsid w:val="00254dfa"/>
    <w:rPr>
      <w:b/>
      <w:bCs/>
      <w:sz w:val="20"/>
      <w:szCs w:val="20"/>
    </w:rPr>
  </w:style>
  <w:style w:type="character" w:styleId="TextedebullesCar" w:customStyle="1">
    <w:name w:val="Texte de bulles Car"/>
    <w:basedOn w:val="DefaultParagraphFont"/>
    <w:link w:val="Textedebulles"/>
    <w:uiPriority w:val="99"/>
    <w:semiHidden/>
    <w:qFormat/>
    <w:rsid w:val="00eb4adf"/>
    <w:rPr>
      <w:rFonts w:ascii="Segoe UI" w:hAnsi="Segoe UI" w:cs="Segoe UI"/>
      <w:sz w:val="18"/>
      <w:szCs w:val="18"/>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Annotationtext">
    <w:name w:val="annotation text"/>
    <w:basedOn w:val="Normal"/>
    <w:link w:val="CommentaireCar"/>
    <w:uiPriority w:val="99"/>
    <w:semiHidden/>
    <w:unhideWhenUsed/>
    <w:qFormat/>
    <w:rsid w:val="00254dfa"/>
    <w:pPr>
      <w:spacing w:lineRule="auto" w:line="240"/>
    </w:pPr>
    <w:rPr>
      <w:sz w:val="20"/>
      <w:szCs w:val="20"/>
    </w:rPr>
  </w:style>
  <w:style w:type="paragraph" w:styleId="Annotationsubject">
    <w:name w:val="annotation subject"/>
    <w:basedOn w:val="Annotationtext"/>
    <w:next w:val="Annotationtext"/>
    <w:link w:val="ObjetducommentaireCar"/>
    <w:uiPriority w:val="99"/>
    <w:semiHidden/>
    <w:unhideWhenUsed/>
    <w:qFormat/>
    <w:rsid w:val="00254dfa"/>
    <w:pPr/>
    <w:rPr>
      <w:b/>
      <w:bCs/>
    </w:rPr>
  </w:style>
  <w:style w:type="paragraph" w:styleId="BalloonText">
    <w:name w:val="Balloon Text"/>
    <w:basedOn w:val="Normal"/>
    <w:link w:val="TextedebullesCar"/>
    <w:uiPriority w:val="99"/>
    <w:semiHidden/>
    <w:unhideWhenUsed/>
    <w:qFormat/>
    <w:rsid w:val="00eb4adf"/>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3235</TotalTime>
  <Application>LibreOffice/6.2.5.2$Windows_X86_64 LibreOffice_project/1ec314fa52f458adc18c4f025c545a4e8b22c159</Application>
  <Pages>1</Pages>
  <Words>355</Words>
  <Characters>2268</Characters>
  <CharactersWithSpaces>2614</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2021-07-13T09:34:00Z</dcterms:created>
  <dc:creator>Elodie Muller</dc:creator>
  <dc:description/>
  <dc:language>fr-FR</dc:language>
  <cp:lastModifiedBy/>
  <cp:lastPrinted>2021-07-15T09:51:00Z</cp:lastPrinted>
  <dcterms:modified xsi:type="dcterms:W3CDTF">2021-09-15T22:24:03Z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