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lang w:val="en-US"/>
        </w:rPr>
      </w:pPr>
      <w:r>
        <w:rPr>
          <w:rFonts w:cs="Times New Roman" w:ascii="Times New Roman" w:hAnsi="Times New Roman"/>
          <w:b/>
          <w:bCs/>
          <w:sz w:val="28"/>
          <w:szCs w:val="28"/>
          <w:lang w:val="en-US"/>
        </w:rPr>
        <w:t>Biomineralization evidence in microbialites from crater lake Atexcac, Mexico</w:t>
      </w:r>
    </w:p>
    <w:p>
      <w:pPr>
        <w:pStyle w:val="Normal"/>
        <w:spacing w:lineRule="auto" w:line="240"/>
        <w:jc w:val="both"/>
        <w:rPr>
          <w:lang w:val="en-US"/>
        </w:rPr>
      </w:pPr>
      <w:r>
        <w:rPr>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u w:val="single"/>
        </w:rPr>
        <w:t>V. Betancourt-García</w:t>
      </w:r>
      <w:r>
        <w:rPr>
          <w:rFonts w:cs="Times New Roman" w:ascii="Times New Roman" w:hAnsi="Times New Roman"/>
          <w:sz w:val="24"/>
          <w:szCs w:val="24"/>
          <w:u w:val="single"/>
          <w:vertAlign w:val="superscript"/>
        </w:rPr>
        <w:t>1</w:t>
      </w:r>
      <w:r>
        <w:rPr>
          <w:rFonts w:cs="Times New Roman" w:ascii="Times New Roman" w:hAnsi="Times New Roman"/>
          <w:sz w:val="24"/>
          <w:szCs w:val="24"/>
          <w:vertAlign w:val="superscript"/>
        </w:rPr>
        <w:t>,2*</w:t>
      </w:r>
      <w:r>
        <w:rPr>
          <w:rFonts w:cs="Times New Roman" w:ascii="Times New Roman" w:hAnsi="Times New Roman"/>
          <w:sz w:val="24"/>
          <w:szCs w:val="24"/>
        </w:rPr>
        <w:t>, R. Tavera</w:t>
      </w:r>
      <w:r>
        <w:rPr>
          <w:rFonts w:cs="Times New Roman" w:ascii="Times New Roman" w:hAnsi="Times New Roman"/>
          <w:sz w:val="24"/>
          <w:szCs w:val="24"/>
          <w:vertAlign w:val="superscript"/>
        </w:rPr>
        <w:t>2</w:t>
      </w:r>
      <w:r>
        <w:rPr>
          <w:rFonts w:cs="Times New Roman" w:ascii="Times New Roman" w:hAnsi="Times New Roman"/>
          <w:sz w:val="24"/>
          <w:szCs w:val="24"/>
        </w:rPr>
        <w:t>, K. Benzerara</w:t>
      </w:r>
      <w:r>
        <w:rPr>
          <w:rFonts w:cs="Times New Roman" w:ascii="Times New Roman" w:hAnsi="Times New Roman"/>
          <w:sz w:val="24"/>
          <w:szCs w:val="24"/>
          <w:vertAlign w:val="superscript"/>
        </w:rPr>
        <w:t>3</w:t>
      </w:r>
      <w:r>
        <w:rPr>
          <w:rFonts w:cs="Times New Roman" w:ascii="Times New Roman" w:hAnsi="Times New Roman"/>
          <w:sz w:val="24"/>
          <w:szCs w:val="24"/>
        </w:rPr>
        <w:t>, N. Zeyen</w:t>
      </w:r>
      <w:r>
        <w:rPr>
          <w:rFonts w:cs="Times New Roman" w:ascii="Times New Roman" w:hAnsi="Times New Roman"/>
          <w:sz w:val="24"/>
          <w:szCs w:val="24"/>
          <w:vertAlign w:val="superscript"/>
        </w:rPr>
        <w:t>3</w:t>
      </w:r>
      <w:r>
        <w:rPr>
          <w:rFonts w:cs="Times New Roman" w:ascii="Times New Roman" w:hAnsi="Times New Roman"/>
          <w:sz w:val="24"/>
          <w:szCs w:val="24"/>
        </w:rPr>
        <w:t>, P. López-García</w:t>
      </w:r>
      <w:r>
        <w:rPr>
          <w:rFonts w:cs="Times New Roman" w:ascii="Times New Roman" w:hAnsi="Times New Roman"/>
          <w:sz w:val="24"/>
          <w:szCs w:val="24"/>
          <w:vertAlign w:val="superscript"/>
        </w:rPr>
        <w:t>4</w:t>
      </w:r>
      <w:r>
        <w:rPr>
          <w:rFonts w:cs="Times New Roman" w:ascii="Times New Roman" w:hAnsi="Times New Roman"/>
          <w:sz w:val="24"/>
          <w:szCs w:val="24"/>
        </w:rPr>
        <w:t>, D. Moreira</w:t>
      </w:r>
      <w:r>
        <w:rPr>
          <w:rFonts w:cs="Times New Roman" w:ascii="Times New Roman" w:hAnsi="Times New Roman"/>
          <w:sz w:val="24"/>
          <w:szCs w:val="24"/>
          <w:vertAlign w:val="superscript"/>
        </w:rPr>
        <w:t>4</w:t>
      </w:r>
    </w:p>
    <w:p>
      <w:pPr>
        <w:pStyle w:val="Normal"/>
        <w:spacing w:lineRule="auto" w:line="240" w:before="0" w:after="103"/>
        <w:jc w:val="center"/>
        <w:rPr>
          <w:rFonts w:ascii="Times New Roman" w:hAnsi="Times New Roman" w:cs="Times New Roman"/>
          <w:i/>
          <w:i/>
          <w:iCs/>
          <w:sz w:val="20"/>
          <w:szCs w:val="20"/>
        </w:rPr>
      </w:pPr>
      <w:r>
        <w:rPr>
          <w:rFonts w:cs="Times New Roman" w:ascii="Times New Roman" w:hAnsi="Times New Roman"/>
          <w:i/>
          <w:iCs/>
          <w:sz w:val="20"/>
          <w:szCs w:val="20"/>
          <w:vertAlign w:val="superscript"/>
        </w:rPr>
        <w:t>1</w:t>
      </w:r>
      <w:r>
        <w:rPr>
          <w:rFonts w:cs="Times New Roman" w:ascii="Times New Roman" w:hAnsi="Times New Roman"/>
          <w:i/>
          <w:iCs/>
          <w:sz w:val="20"/>
          <w:szCs w:val="20"/>
        </w:rPr>
        <w:t>Posgrado en Ciencias del Mar y Limnología-UNAM. CdMx, México</w:t>
      </w:r>
    </w:p>
    <w:p>
      <w:pPr>
        <w:pStyle w:val="Normal"/>
        <w:spacing w:lineRule="auto" w:line="240" w:before="0" w:after="103"/>
        <w:jc w:val="center"/>
        <w:rPr>
          <w:rFonts w:ascii="Times New Roman" w:hAnsi="Times New Roman" w:cs="Times New Roman"/>
          <w:i/>
          <w:i/>
          <w:iCs/>
          <w:sz w:val="20"/>
          <w:szCs w:val="20"/>
        </w:rPr>
      </w:pPr>
      <w:r>
        <w:rPr>
          <w:rFonts w:cs="Times New Roman" w:ascii="Times New Roman" w:hAnsi="Times New Roman"/>
          <w:i/>
          <w:iCs/>
          <w:sz w:val="20"/>
          <w:szCs w:val="20"/>
          <w:vertAlign w:val="superscript"/>
        </w:rPr>
        <w:t>2</w:t>
      </w:r>
      <w:r>
        <w:rPr>
          <w:rFonts w:cs="Times New Roman" w:ascii="Times New Roman" w:hAnsi="Times New Roman"/>
          <w:i/>
          <w:iCs/>
          <w:sz w:val="20"/>
          <w:szCs w:val="20"/>
        </w:rPr>
        <w:t>Departamento de Ecología y Recursos Naturales, Universidad Nacional Autónoma de México, CdMx, Mexico</w:t>
      </w:r>
    </w:p>
    <w:p>
      <w:pPr>
        <w:pStyle w:val="Normal"/>
        <w:spacing w:lineRule="auto" w:line="240" w:before="0" w:after="103"/>
        <w:jc w:val="center"/>
        <w:rPr>
          <w:rFonts w:ascii="Times New Roman" w:hAnsi="Times New Roman" w:cs="Times New Roman"/>
          <w:i/>
          <w:i/>
          <w:iCs/>
          <w:sz w:val="20"/>
          <w:szCs w:val="20"/>
          <w:lang w:val="fr-FR"/>
        </w:rPr>
      </w:pPr>
      <w:r>
        <w:rPr>
          <w:rFonts w:cs="Times New Roman" w:ascii="Times New Roman" w:hAnsi="Times New Roman"/>
          <w:i/>
          <w:iCs/>
          <w:sz w:val="20"/>
          <w:szCs w:val="20"/>
          <w:vertAlign w:val="superscript"/>
          <w:lang w:val="fr-FR"/>
        </w:rPr>
        <w:t>3</w:t>
      </w:r>
      <w:r>
        <w:rPr>
          <w:rFonts w:cs="Times New Roman" w:ascii="Times New Roman" w:hAnsi="Times New Roman"/>
          <w:i/>
          <w:iCs/>
          <w:sz w:val="20"/>
          <w:szCs w:val="20"/>
          <w:lang w:val="fr-FR"/>
        </w:rPr>
        <w:t>Sorbonne Université, Muséum National d'Histoire Naturelle, UMR CNRS 7590. Institut de Minéralogie, de Physique des Matériaux et de Cosmochimie (IMPMC), Paris, France</w:t>
      </w:r>
    </w:p>
    <w:p>
      <w:pPr>
        <w:pStyle w:val="Normal"/>
        <w:spacing w:lineRule="auto" w:line="240" w:before="0" w:after="103"/>
        <w:jc w:val="center"/>
        <w:rPr>
          <w:rFonts w:ascii="Times New Roman" w:hAnsi="Times New Roman" w:cs="Times New Roman"/>
          <w:i/>
          <w:i/>
          <w:iCs/>
          <w:sz w:val="20"/>
          <w:szCs w:val="20"/>
          <w:lang w:val="fr-FR"/>
        </w:rPr>
      </w:pPr>
      <w:r>
        <w:rPr>
          <w:rFonts w:cs="Times New Roman" w:ascii="Times New Roman" w:hAnsi="Times New Roman"/>
          <w:i/>
          <w:iCs/>
          <w:sz w:val="20"/>
          <w:szCs w:val="20"/>
          <w:vertAlign w:val="superscript"/>
          <w:lang w:val="fr-FR"/>
        </w:rPr>
        <w:t>4</w:t>
      </w:r>
      <w:r>
        <w:rPr>
          <w:rFonts w:cs="Times New Roman" w:ascii="Times New Roman" w:hAnsi="Times New Roman"/>
          <w:i/>
          <w:iCs/>
          <w:sz w:val="20"/>
          <w:szCs w:val="20"/>
          <w:lang w:val="fr-FR"/>
        </w:rPr>
        <w:t>Ecologie Systématique Evolution, CNRS, Université Paris-Saclay, Orsay, France</w:t>
      </w:r>
    </w:p>
    <w:p>
      <w:pPr>
        <w:pStyle w:val="Normal"/>
        <w:spacing w:lineRule="auto" w:line="240" w:before="0" w:after="103"/>
        <w:jc w:val="center"/>
        <w:rPr/>
      </w:pPr>
      <w:r>
        <w:rPr>
          <w:rFonts w:cs="Times New Roman" w:ascii="Times New Roman" w:hAnsi="Times New Roman"/>
          <w:i/>
          <w:iCs/>
          <w:sz w:val="20"/>
          <w:szCs w:val="20"/>
          <w:lang w:val="en-US"/>
        </w:rPr>
        <w:t>* vladimmir19@gmail.com</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Lake Atexcac hosts a special case of modern microbialites. The mats overlying the microbialites are composed of a community producing copious mucilage visible to the naked eye and composed of cyanobacteria and eukaryotes that contribute to the mineral deposit, according to the differences in the carbon concentration mechanisms of both groups (CCMs). By classical morphospecies observations, this community is composed of a stratum largely formed by the coccoid cyanobacterium </w:t>
      </w:r>
      <w:r>
        <w:rPr>
          <w:rFonts w:cs="Times New Roman" w:ascii="Times New Roman" w:hAnsi="Times New Roman"/>
          <w:i/>
          <w:iCs/>
          <w:sz w:val="24"/>
          <w:szCs w:val="24"/>
          <w:lang w:val="en-US"/>
        </w:rPr>
        <w:t>Chlorogloea lithogenes</w:t>
      </w:r>
      <w:r>
        <w:rPr>
          <w:rFonts w:cs="Times New Roman" w:ascii="Times New Roman" w:hAnsi="Times New Roman"/>
          <w:sz w:val="24"/>
          <w:szCs w:val="24"/>
          <w:lang w:val="en-US"/>
        </w:rPr>
        <w:t xml:space="preserve"> as the dominant cyanobacterial species and some filamentous ones, always covered by another stratum dominated by several species of diatoms in which </w:t>
      </w:r>
      <w:r>
        <w:rPr>
          <w:rFonts w:cs="Times New Roman" w:ascii="Times New Roman" w:hAnsi="Times New Roman"/>
          <w:i/>
          <w:iCs/>
          <w:sz w:val="24"/>
          <w:szCs w:val="24"/>
          <w:lang w:val="en-US"/>
        </w:rPr>
        <w:t>Epithemia turgida</w:t>
      </w:r>
      <w:r>
        <w:rPr>
          <w:rFonts w:cs="Times New Roman" w:ascii="Times New Roman" w:hAnsi="Times New Roman"/>
          <w:sz w:val="24"/>
          <w:szCs w:val="24"/>
          <w:lang w:val="en-US"/>
        </w:rPr>
        <w:t xml:space="preserve">, </w:t>
      </w:r>
      <w:r>
        <w:rPr>
          <w:rFonts w:cs="Times New Roman" w:ascii="Times New Roman" w:hAnsi="Times New Roman"/>
          <w:i/>
          <w:iCs/>
          <w:sz w:val="24"/>
          <w:szCs w:val="24"/>
          <w:lang w:val="en-US"/>
        </w:rPr>
        <w:t>Mastogloia smithii</w:t>
      </w:r>
      <w:r>
        <w:rPr>
          <w:rFonts w:cs="Times New Roman" w:ascii="Times New Roman" w:hAnsi="Times New Roman"/>
          <w:sz w:val="24"/>
          <w:szCs w:val="24"/>
          <w:lang w:val="en-US"/>
        </w:rPr>
        <w:t xml:space="preserve"> var. </w:t>
      </w:r>
      <w:r>
        <w:rPr>
          <w:rFonts w:cs="Times New Roman" w:ascii="Times New Roman" w:hAnsi="Times New Roman"/>
          <w:i/>
          <w:iCs/>
          <w:sz w:val="24"/>
          <w:szCs w:val="24"/>
          <w:lang w:val="en-US"/>
        </w:rPr>
        <w:t>lacustris</w:t>
      </w:r>
      <w:r>
        <w:rPr>
          <w:rFonts w:cs="Times New Roman" w:ascii="Times New Roman" w:hAnsi="Times New Roman"/>
          <w:sz w:val="24"/>
          <w:szCs w:val="24"/>
          <w:lang w:val="en-US"/>
        </w:rPr>
        <w:t xml:space="preserve"> and </w:t>
      </w:r>
      <w:r>
        <w:rPr>
          <w:rFonts w:cs="Times New Roman" w:ascii="Times New Roman" w:hAnsi="Times New Roman"/>
          <w:i/>
          <w:iCs/>
          <w:sz w:val="24"/>
          <w:szCs w:val="24"/>
          <w:lang w:val="en-US"/>
        </w:rPr>
        <w:t>M. epillitica</w:t>
      </w:r>
      <w:r>
        <w:rPr>
          <w:rFonts w:cs="Times New Roman" w:ascii="Times New Roman" w:hAnsi="Times New Roman"/>
          <w:sz w:val="24"/>
          <w:szCs w:val="24"/>
          <w:lang w:val="en-US"/>
        </w:rPr>
        <w:t xml:space="preserve"> stand out. The composition of the Atexcac microbialites consists of a carbonate mineral phase (mainly aragonite, CaCO</w:t>
      </w:r>
      <w:r>
        <w:rPr>
          <w:rFonts w:cs="Times New Roman" w:ascii="Times New Roman" w:hAnsi="Times New Roman"/>
          <w:sz w:val="24"/>
          <w:szCs w:val="24"/>
          <w:vertAlign w:val="subscript"/>
          <w:lang w:val="en-US"/>
        </w:rPr>
        <w:t>3</w:t>
      </w:r>
      <w:r>
        <w:rPr>
          <w:rFonts w:cs="Times New Roman" w:ascii="Times New Roman" w:hAnsi="Times New Roman"/>
          <w:sz w:val="24"/>
          <w:szCs w:val="24"/>
          <w:lang w:val="en-US"/>
        </w:rPr>
        <w:t>), associated with a poorly crystalline Mg-silicate phase similar to kerolite [Mg</w:t>
      </w:r>
      <w:r>
        <w:rPr>
          <w:rFonts w:cs="Times New Roman" w:ascii="Times New Roman" w:hAnsi="Times New Roman"/>
          <w:sz w:val="24"/>
          <w:szCs w:val="24"/>
          <w:vertAlign w:val="subscript"/>
          <w:lang w:val="en-US"/>
        </w:rPr>
        <w:t>3</w:t>
      </w:r>
      <w:r>
        <w:rPr>
          <w:rFonts w:cs="Times New Roman" w:ascii="Times New Roman" w:hAnsi="Times New Roman"/>
          <w:sz w:val="24"/>
          <w:szCs w:val="24"/>
          <w:lang w:val="en-US"/>
        </w:rPr>
        <w:t>Si</w:t>
      </w:r>
      <w:r>
        <w:rPr>
          <w:rFonts w:cs="Times New Roman" w:ascii="Times New Roman" w:hAnsi="Times New Roman"/>
          <w:sz w:val="24"/>
          <w:szCs w:val="24"/>
          <w:vertAlign w:val="subscript"/>
          <w:lang w:val="en-US"/>
        </w:rPr>
        <w:t>4</w:t>
      </w:r>
      <w:r>
        <w:rPr>
          <w:rFonts w:cs="Times New Roman" w:ascii="Times New Roman" w:hAnsi="Times New Roman"/>
          <w:sz w:val="24"/>
          <w:szCs w:val="24"/>
          <w:lang w:val="en-US"/>
        </w:rPr>
        <w:t>O</w:t>
      </w:r>
      <w:r>
        <w:rPr>
          <w:rFonts w:cs="Times New Roman" w:ascii="Times New Roman" w:hAnsi="Times New Roman"/>
          <w:sz w:val="24"/>
          <w:szCs w:val="24"/>
          <w:vertAlign w:val="subscript"/>
          <w:lang w:val="en-US"/>
        </w:rPr>
        <w:t>10</w:t>
      </w:r>
      <w:r>
        <w:rPr>
          <w:rFonts w:cs="Times New Roman" w:ascii="Times New Roman" w:hAnsi="Times New Roman"/>
          <w:sz w:val="24"/>
          <w:szCs w:val="24"/>
          <w:lang w:val="en-US"/>
        </w:rPr>
        <w:t>(OH)</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w:t>
      </w:r>
      <w:r>
        <w:rPr>
          <w:rFonts w:cs="Times New Roman" w:ascii="Times New Roman" w:hAnsi="Times New Roman"/>
          <w:i/>
          <w:iCs/>
          <w:sz w:val="24"/>
          <w:szCs w:val="24"/>
          <w:lang w:val="en-US"/>
        </w:rPr>
        <w:t>n</w:t>
      </w:r>
      <w:r>
        <w:rPr>
          <w:rFonts w:cs="Times New Roman" w:ascii="Times New Roman" w:hAnsi="Times New Roman"/>
          <w:sz w:val="24"/>
          <w:szCs w:val="24"/>
          <w:lang w:val="en-US"/>
        </w:rPr>
        <w:t>H</w:t>
      </w:r>
      <w:r>
        <w:rPr>
          <w:rFonts w:cs="Times New Roman" w:ascii="Times New Roman" w:hAnsi="Times New Roman"/>
          <w:sz w:val="24"/>
          <w:szCs w:val="24"/>
          <w:vertAlign w:val="subscript"/>
          <w:lang w:val="en-US"/>
        </w:rPr>
        <w:t>2</w:t>
      </w:r>
      <w:r>
        <w:rPr>
          <w:rFonts w:cs="Times New Roman" w:ascii="Times New Roman" w:hAnsi="Times New Roman"/>
          <w:sz w:val="24"/>
          <w:szCs w:val="24"/>
          <w:lang w:val="en-US"/>
        </w:rPr>
        <w:t>O]. The organic material and the cells are finely preserved as fossils related to the carbonate and silicate phases. In this fossil material, it is possible to recognize that defined cellular structures coincide with the same morphospecies observed as dominant in the microbial mats.</w:t>
      </w:r>
    </w:p>
    <w:p>
      <w:pPr>
        <w:pStyle w:val="Normal"/>
        <w:spacing w:before="0" w:after="160"/>
        <w:jc w:val="both"/>
        <w:rPr/>
      </w:pPr>
      <w:r>
        <w:rPr>
          <w:rFonts w:cs="Times New Roman" w:ascii="Times New Roman" w:hAnsi="Times New Roman"/>
          <w:sz w:val="24"/>
          <w:szCs w:val="24"/>
          <w:lang w:val="en-US"/>
        </w:rPr>
        <w:t>Geochemical studies and various microscopic methods allow to hypothesize that kerolite may be an initial step in the fossilization processes since there is permineralization of fossil microorganisms. However, we do not know how much the chemical composition of the lake can influence this process and how much microbial activity could influence it. To investigate their respective roles, we have initiated observation of the microbial mats and minerals, especially the fossils that might have been preserved at different lake depths. The main question is whether possible hydrochemical changes in the depth profile would impose modifications on one or the other, the biotic component and the mineral component. In an optimal scenario, we could associate the changes with the possible role of kerolite. The first results indicate that the specific composition of the mat remains intact in the first 5 meters of depth. At greater depths, the cyanobacterial community changes towards the predominance of pseudofilamentous members, mainly Pleurocapsales. In these depths greater than 5 meters, the diatoms persisted, although in lower abundances.</w:t>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Calibri" w:cs="" w:cstheme="minorBidi" w:eastAsiaTheme="minorHAnsi"/>
        <w:sz w:val="22"/>
        <w:szCs w:val="22"/>
        <w:lang w:val="es-MX"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5784"/>
    <w:pPr>
      <w:widowControl/>
      <w:bidi w:val="0"/>
      <w:spacing w:lineRule="auto" w:line="259" w:before="0" w:after="160"/>
      <w:jc w:val="left"/>
    </w:pPr>
    <w:rPr>
      <w:rFonts w:ascii="Segoe UI" w:hAnsi="Segoe UI" w:eastAsia="Calibri" w:cs="" w:cstheme="minorBidi" w:eastAsia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e0ddc"/>
    <w:rPr>
      <w:sz w:val="16"/>
      <w:szCs w:val="16"/>
    </w:rPr>
  </w:style>
  <w:style w:type="character" w:styleId="TextocomentarioCar" w:customStyle="1">
    <w:name w:val="Texto comentario Car"/>
    <w:basedOn w:val="DefaultParagraphFont"/>
    <w:link w:val="Textocomentario"/>
    <w:uiPriority w:val="99"/>
    <w:qFormat/>
    <w:rsid w:val="00ae0ddc"/>
    <w:rPr>
      <w:sz w:val="20"/>
      <w:szCs w:val="20"/>
    </w:rPr>
  </w:style>
  <w:style w:type="character" w:styleId="AsuntodelcomentarioCar" w:customStyle="1">
    <w:name w:val="Asunto del comentario Car"/>
    <w:basedOn w:val="TextocomentarioCar"/>
    <w:link w:val="Asuntodelcomentario"/>
    <w:uiPriority w:val="99"/>
    <w:semiHidden/>
    <w:qFormat/>
    <w:rsid w:val="00ae0ddc"/>
    <w:rPr>
      <w:b/>
      <w:bCs/>
      <w:sz w:val="20"/>
      <w:szCs w:val="20"/>
    </w:rPr>
  </w:style>
  <w:style w:type="character" w:styleId="TextodegloboCar" w:customStyle="1">
    <w:name w:val="Texto de globo Car"/>
    <w:basedOn w:val="DefaultParagraphFont"/>
    <w:link w:val="Textodeglobo"/>
    <w:uiPriority w:val="99"/>
    <w:semiHidden/>
    <w:qFormat/>
    <w:rsid w:val="00ae0ddc"/>
    <w:rPr>
      <w:rFonts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TextocomentarioCar"/>
    <w:uiPriority w:val="99"/>
    <w:unhideWhenUsed/>
    <w:qFormat/>
    <w:rsid w:val="00ae0ddc"/>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ae0ddc"/>
    <w:pPr/>
    <w:rPr>
      <w:b/>
      <w:bCs/>
    </w:rPr>
  </w:style>
  <w:style w:type="paragraph" w:styleId="BalloonText">
    <w:name w:val="Balloon Text"/>
    <w:basedOn w:val="Normal"/>
    <w:link w:val="TextodegloboCar"/>
    <w:uiPriority w:val="99"/>
    <w:semiHidden/>
    <w:unhideWhenUsed/>
    <w:qFormat/>
    <w:rsid w:val="00ae0ddc"/>
    <w:pPr>
      <w:spacing w:lineRule="auto" w:line="240" w:before="0" w:after="0"/>
    </w:pPr>
    <w:rPr>
      <w:rFonts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LibreOffice/6.2.5.2$Windows_X86_64 LibreOffice_project/1ec314fa52f458adc18c4f025c545a4e8b22c159</Application>
  <Pages>1</Pages>
  <Words>418</Words>
  <Characters>2550</Characters>
  <CharactersWithSpaces>2959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2021-07-15T07:54:00Z</dcterms:created>
  <dc:creator>Rosaluz Tavera</dc:creator>
  <dc:description/>
  <dc:language>fr-FR</dc:language>
  <cp:lastModifiedBy/>
  <dcterms:modified xsi:type="dcterms:W3CDTF">2021-09-15T21:33:30Z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