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lineRule="auto" w:line="240"/>
        <w:jc w:val="center"/>
        <w:rPr>
          <w:rFonts w:ascii="Times New Roman" w:hAnsi="Times New Roman" w:eastAsia="Times New Roman" w:cs="Times New Roman"/>
          <w:b/>
          <w:b/>
          <w:sz w:val="28"/>
          <w:szCs w:val="28"/>
          <w:lang w:val="en-US"/>
        </w:rPr>
      </w:pPr>
      <w:r>
        <w:rPr>
          <w:rFonts w:eastAsia="Times New Roman" w:cs="Times New Roman" w:ascii="Times New Roman" w:hAnsi="Times New Roman"/>
          <w:b/>
          <w:sz w:val="28"/>
          <w:szCs w:val="28"/>
          <w:lang w:val="en-US"/>
        </w:rPr>
        <w:t>Oncoidal microbialites in non-marine environments in Quaternary carbonate deposits of Central-Brazil.</w:t>
      </w:r>
    </w:p>
    <w:p>
      <w:pPr>
        <w:pStyle w:val="Normal1"/>
        <w:spacing w:lineRule="auto" w:line="240"/>
        <w:jc w:val="center"/>
        <w:rPr>
          <w:rFonts w:ascii="Times New Roman" w:hAnsi="Times New Roman" w:eastAsia="Times New Roman" w:cs="Times New Roman"/>
          <w:b/>
          <w:b/>
          <w:sz w:val="28"/>
          <w:szCs w:val="28"/>
          <w:lang w:val="en-US"/>
        </w:rPr>
      </w:pPr>
      <w:r>
        <w:rPr>
          <w:rFonts w:eastAsia="Times New Roman" w:cs="Times New Roman" w:ascii="Times New Roman" w:hAnsi="Times New Roman"/>
          <w:b/>
          <w:sz w:val="28"/>
          <w:szCs w:val="28"/>
          <w:lang w:val="en-US"/>
        </w:rPr>
        <w:t xml:space="preserve"> </w:t>
      </w:r>
    </w:p>
    <w:p>
      <w:pPr>
        <w:pStyle w:val="Normal1"/>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A. Bahniuk</w:t>
      </w:r>
      <w:r>
        <w:rPr>
          <w:rFonts w:eastAsia="Times New Roman" w:cs="Times New Roman" w:ascii="Times New Roman" w:hAnsi="Times New Roman"/>
          <w:sz w:val="24"/>
          <w:szCs w:val="24"/>
          <w:u w:val="single"/>
          <w:vertAlign w:val="superscript"/>
        </w:rPr>
        <w:t>1</w:t>
      </w:r>
      <w:r>
        <w:rPr>
          <w:rFonts w:eastAsia="Times New Roman" w:cs="Times New Roman" w:ascii="Times New Roman" w:hAnsi="Times New Roman"/>
          <w:sz w:val="24"/>
          <w:szCs w:val="24"/>
        </w:rPr>
        <w:t>; L. Santos</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A. Rodrigues</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w:t>
      </w:r>
    </w:p>
    <w:p>
      <w:pPr>
        <w:pStyle w:val="Normal1"/>
        <w:spacing w:lineRule="auto" w:line="240"/>
        <w:jc w:val="center"/>
        <w:rPr>
          <w:rFonts w:ascii="Times New Roman" w:hAnsi="Times New Roman" w:eastAsia="Times New Roman" w:cs="Times New Roman"/>
          <w:i/>
          <w:i/>
          <w:sz w:val="20"/>
          <w:szCs w:val="20"/>
        </w:rPr>
      </w:pPr>
      <w:r>
        <w:rPr>
          <w:rFonts w:eastAsia="Times New Roman" w:cs="Times New Roman" w:ascii="Times New Roman" w:hAnsi="Times New Roman"/>
          <w:i/>
          <w:sz w:val="24"/>
          <w:szCs w:val="24"/>
          <w:vertAlign w:val="superscript"/>
          <w:lang w:val="en-US"/>
        </w:rPr>
        <w:t>1</w:t>
      </w:r>
      <w:r>
        <w:rPr>
          <w:rFonts w:eastAsia="Times New Roman" w:cs="Times New Roman" w:ascii="Times New Roman" w:hAnsi="Times New Roman"/>
          <w:i/>
          <w:sz w:val="20"/>
          <w:szCs w:val="20"/>
          <w:lang w:val="en-US"/>
        </w:rPr>
        <w:t xml:space="preserve">Lamir Intitute, Federal University of Paraná, Av. Cel. </w:t>
      </w:r>
      <w:r>
        <w:rPr>
          <w:rFonts w:eastAsia="Times New Roman" w:cs="Times New Roman" w:ascii="Times New Roman" w:hAnsi="Times New Roman"/>
          <w:i/>
          <w:sz w:val="20"/>
          <w:szCs w:val="20"/>
        </w:rPr>
        <w:t>Francisco H. dos Santos, 100 – Jardim das Américas, Curitiba, Brazil</w:t>
      </w:r>
    </w:p>
    <w:p>
      <w:pPr>
        <w:pStyle w:val="Normal1"/>
        <w:spacing w:lineRule="auto" w:line="240"/>
        <w:jc w:val="center"/>
        <w:rPr>
          <w:rFonts w:ascii="Times New Roman" w:hAnsi="Times New Roman" w:eastAsia="Times New Roman" w:cs="Times New Roman"/>
          <w:i/>
          <w:i/>
          <w:sz w:val="20"/>
          <w:szCs w:val="20"/>
          <w:lang w:val="en-US"/>
        </w:rPr>
      </w:pPr>
      <w:r>
        <w:rPr>
          <w:rFonts w:eastAsia="Times New Roman" w:cs="Times New Roman" w:ascii="Times New Roman" w:hAnsi="Times New Roman"/>
          <w:i/>
          <w:sz w:val="20"/>
          <w:szCs w:val="20"/>
          <w:lang w:val="en-US"/>
        </w:rPr>
        <w:t>*adelita.carolina@ufpr.br</w:t>
      </w:r>
    </w:p>
    <w:p>
      <w:pPr>
        <w:pStyle w:val="Normal1"/>
        <w:spacing w:lineRule="auto" w:line="24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1"/>
        <w:spacing w:lineRule="auto" w:line="24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Depositional environments supersaturated in bicarbonate molecules (HCO</w:t>
      </w:r>
      <w:r>
        <w:rPr>
          <w:rFonts w:eastAsia="Times New Roman" w:cs="Times New Roman" w:ascii="Times New Roman" w:hAnsi="Times New Roman"/>
          <w:sz w:val="24"/>
          <w:szCs w:val="24"/>
          <w:vertAlign w:val="subscript"/>
          <w:lang w:val="en-US"/>
        </w:rPr>
        <w:t>3</w:t>
      </w:r>
      <w:r>
        <w:rPr>
          <w:rFonts w:eastAsia="Times New Roman" w:cs="Times New Roman" w:ascii="Times New Roman" w:hAnsi="Times New Roman"/>
          <w:sz w:val="24"/>
          <w:szCs w:val="24"/>
          <w:vertAlign w:val="superscript"/>
          <w:lang w:val="en-US"/>
        </w:rPr>
        <w:t>-</w:t>
      </w:r>
      <w:r>
        <w:rPr>
          <w:rFonts w:eastAsia="Times New Roman" w:cs="Times New Roman" w:ascii="Times New Roman" w:hAnsi="Times New Roman"/>
          <w:sz w:val="24"/>
          <w:szCs w:val="24"/>
          <w:lang w:val="en-US"/>
        </w:rPr>
        <w:t>) and calcium ions (Ca</w:t>
      </w:r>
      <w:r>
        <w:rPr>
          <w:rFonts w:eastAsia="Times New Roman" w:cs="Times New Roman" w:ascii="Times New Roman" w:hAnsi="Times New Roman"/>
          <w:sz w:val="24"/>
          <w:szCs w:val="24"/>
          <w:vertAlign w:val="superscript"/>
          <w:lang w:val="en-US"/>
        </w:rPr>
        <w:t>2+</w:t>
      </w:r>
      <w:r>
        <w:rPr>
          <w:rFonts w:eastAsia="Times New Roman" w:cs="Times New Roman" w:ascii="Times New Roman" w:hAnsi="Times New Roman"/>
          <w:sz w:val="24"/>
          <w:szCs w:val="24"/>
          <w:lang w:val="en-US"/>
        </w:rPr>
        <w:t>) are highly favorable for the development of microorganisms that are able to extract CO</w:t>
      </w:r>
      <w:r>
        <w:rPr>
          <w:rFonts w:eastAsia="Times New Roman" w:cs="Times New Roman" w:ascii="Times New Roman" w:hAnsi="Times New Roman"/>
          <w:sz w:val="24"/>
          <w:szCs w:val="24"/>
          <w:vertAlign w:val="subscript"/>
          <w:lang w:val="en-US"/>
        </w:rPr>
        <w:t>2</w:t>
      </w:r>
      <w:r>
        <w:rPr>
          <w:rFonts w:eastAsia="Times New Roman" w:cs="Times New Roman" w:ascii="Times New Roman" w:hAnsi="Times New Roman"/>
          <w:sz w:val="24"/>
          <w:szCs w:val="24"/>
          <w:lang w:val="en-US"/>
        </w:rPr>
        <w:t xml:space="preserve"> (carbonic acid) from HCO</w:t>
      </w:r>
      <w:r>
        <w:rPr>
          <w:rFonts w:eastAsia="Times New Roman" w:cs="Times New Roman" w:ascii="Times New Roman" w:hAnsi="Times New Roman"/>
          <w:sz w:val="24"/>
          <w:szCs w:val="24"/>
          <w:vertAlign w:val="subscript"/>
          <w:lang w:val="en-US"/>
        </w:rPr>
        <w:t>3</w:t>
      </w:r>
      <w:r>
        <w:rPr>
          <w:rFonts w:eastAsia="Times New Roman" w:cs="Times New Roman" w:ascii="Times New Roman" w:hAnsi="Times New Roman"/>
          <w:sz w:val="24"/>
          <w:szCs w:val="24"/>
          <w:vertAlign w:val="superscript"/>
          <w:lang w:val="en-US"/>
        </w:rPr>
        <w:t>-</w:t>
      </w:r>
      <w:r>
        <w:rPr>
          <w:rFonts w:eastAsia="Times New Roman" w:cs="Times New Roman" w:ascii="Times New Roman" w:hAnsi="Times New Roman"/>
          <w:sz w:val="24"/>
          <w:szCs w:val="24"/>
          <w:lang w:val="en-US"/>
        </w:rPr>
        <w:t>. In these environments, the cyanobacterias are known to perform this photosynthesis type, also denominated as CO</w:t>
      </w:r>
      <w:r>
        <w:rPr>
          <w:rFonts w:eastAsia="Times New Roman" w:cs="Times New Roman" w:ascii="Times New Roman" w:hAnsi="Times New Roman"/>
          <w:sz w:val="24"/>
          <w:szCs w:val="24"/>
          <w:vertAlign w:val="subscript"/>
          <w:lang w:val="en-US"/>
        </w:rPr>
        <w:t>2</w:t>
      </w:r>
      <w:r>
        <w:rPr>
          <w:rFonts w:eastAsia="Times New Roman" w:cs="Times New Roman" w:ascii="Times New Roman" w:hAnsi="Times New Roman"/>
          <w:sz w:val="24"/>
          <w:szCs w:val="24"/>
          <w:lang w:val="en-US"/>
        </w:rPr>
        <w:t>-Concentrating Mechanism (CCM). One of the remnants of this process is the hydroxyl (OH</w:t>
      </w:r>
      <w:r>
        <w:rPr>
          <w:rFonts w:eastAsia="Times New Roman" w:cs="Times New Roman" w:ascii="Times New Roman" w:hAnsi="Times New Roman"/>
          <w:sz w:val="24"/>
          <w:szCs w:val="24"/>
          <w:vertAlign w:val="superscript"/>
          <w:lang w:val="en-US"/>
        </w:rPr>
        <w:t>-</w:t>
      </w:r>
      <w:r>
        <w:rPr>
          <w:rFonts w:eastAsia="Times New Roman" w:cs="Times New Roman" w:ascii="Times New Roman" w:hAnsi="Times New Roman"/>
          <w:sz w:val="24"/>
          <w:szCs w:val="24"/>
          <w:lang w:val="en-US"/>
        </w:rPr>
        <w:t>) that consequently increases the pH, binds with H</w:t>
      </w:r>
      <w:r>
        <w:rPr>
          <w:rFonts w:eastAsia="Times New Roman" w:cs="Times New Roman" w:ascii="Times New Roman" w:hAnsi="Times New Roman"/>
          <w:sz w:val="24"/>
          <w:szCs w:val="24"/>
          <w:vertAlign w:val="superscript"/>
          <w:lang w:val="en-US"/>
        </w:rPr>
        <w:t>+</w:t>
      </w:r>
      <w:r>
        <w:rPr>
          <w:rFonts w:eastAsia="Times New Roman" w:cs="Times New Roman" w:ascii="Times New Roman" w:hAnsi="Times New Roman"/>
          <w:sz w:val="24"/>
          <w:szCs w:val="24"/>
          <w:lang w:val="en-US"/>
        </w:rPr>
        <w:t xml:space="preserve"> from HCO</w:t>
      </w:r>
      <w:r>
        <w:rPr>
          <w:rFonts w:eastAsia="Times New Roman" w:cs="Times New Roman" w:ascii="Times New Roman" w:hAnsi="Times New Roman"/>
          <w:sz w:val="24"/>
          <w:szCs w:val="24"/>
          <w:vertAlign w:val="subscript"/>
          <w:lang w:val="en-US"/>
        </w:rPr>
        <w:t>3</w:t>
      </w:r>
      <w:r>
        <w:rPr>
          <w:rFonts w:eastAsia="Times New Roman" w:cs="Times New Roman" w:ascii="Times New Roman" w:hAnsi="Times New Roman"/>
          <w:sz w:val="24"/>
          <w:szCs w:val="24"/>
          <w:vertAlign w:val="superscript"/>
          <w:lang w:val="en-US"/>
        </w:rPr>
        <w:t>-</w:t>
      </w:r>
      <w:r>
        <w:rPr>
          <w:rFonts w:eastAsia="Times New Roman" w:cs="Times New Roman" w:ascii="Times New Roman" w:hAnsi="Times New Roman"/>
          <w:sz w:val="24"/>
          <w:szCs w:val="24"/>
          <w:lang w:val="en-US"/>
        </w:rPr>
        <w:t>, thus, causing the CO</w:t>
      </w:r>
      <w:r>
        <w:rPr>
          <w:rFonts w:eastAsia="Times New Roman" w:cs="Times New Roman" w:ascii="Times New Roman" w:hAnsi="Times New Roman"/>
          <w:sz w:val="24"/>
          <w:szCs w:val="24"/>
          <w:vertAlign w:val="subscript"/>
          <w:lang w:val="en-US"/>
        </w:rPr>
        <w:t>3</w:t>
      </w:r>
      <w:r>
        <w:rPr>
          <w:rFonts w:eastAsia="Times New Roman" w:cs="Times New Roman" w:ascii="Times New Roman" w:hAnsi="Times New Roman"/>
          <w:sz w:val="24"/>
          <w:szCs w:val="24"/>
          <w:vertAlign w:val="superscript"/>
          <w:lang w:val="en-US"/>
        </w:rPr>
        <w:t>-</w:t>
      </w:r>
      <w:r>
        <w:rPr>
          <w:rFonts w:eastAsia="Times New Roman" w:cs="Times New Roman" w:ascii="Times New Roman" w:hAnsi="Times New Roman"/>
          <w:sz w:val="24"/>
          <w:szCs w:val="24"/>
          <w:lang w:val="en-US"/>
        </w:rPr>
        <w:t xml:space="preserve"> and Ca</w:t>
      </w:r>
      <w:r>
        <w:rPr>
          <w:rFonts w:eastAsia="Times New Roman" w:cs="Times New Roman" w:ascii="Times New Roman" w:hAnsi="Times New Roman"/>
          <w:sz w:val="24"/>
          <w:szCs w:val="24"/>
          <w:vertAlign w:val="superscript"/>
          <w:lang w:val="en-US"/>
        </w:rPr>
        <w:t>2+</w:t>
      </w:r>
      <w:r>
        <w:rPr>
          <w:rFonts w:eastAsia="Times New Roman" w:cs="Times New Roman" w:ascii="Times New Roman" w:hAnsi="Times New Roman"/>
          <w:sz w:val="24"/>
          <w:szCs w:val="24"/>
          <w:lang w:val="en-US"/>
        </w:rPr>
        <w:t>formation in which these newly-formed CaCO</w:t>
      </w:r>
      <w:r>
        <w:rPr>
          <w:rFonts w:eastAsia="Times New Roman" w:cs="Times New Roman" w:ascii="Times New Roman" w:hAnsi="Times New Roman"/>
          <w:sz w:val="24"/>
          <w:szCs w:val="24"/>
          <w:vertAlign w:val="subscript"/>
          <w:lang w:val="en-US"/>
        </w:rPr>
        <w:t>3</w:t>
      </w:r>
      <w:r>
        <w:rPr>
          <w:rFonts w:eastAsia="Times New Roman" w:cs="Times New Roman" w:ascii="Times New Roman" w:hAnsi="Times New Roman"/>
          <w:sz w:val="24"/>
          <w:szCs w:val="24"/>
          <w:lang w:val="en-US"/>
        </w:rPr>
        <w:t xml:space="preserve"> crystallites can be trapped onto a biofilm (extracellular polymeric substances - EPS). This biochemical interaction results in a carbonate construction that might be preserved in the geological record.</w:t>
      </w:r>
    </w:p>
    <w:p>
      <w:pPr>
        <w:pStyle w:val="Normal1"/>
        <w:spacing w:lineRule="auto" w:line="24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The oncoids exemplify one of these bioconstruction processes that usually consist of biogenic carbonate nodules formed from the interaction between cyanobacteria and supersaturated environments. In order to understand these bioconstructions, mineralogical (petrographic, scanning electron microscopy and x-ray diffraction) and geochemical (x-ray fluorescence, C&amp;O stable isotopes) studies were carried out in oncoid samples of Quaternary carbonate deposits of the Serra da Bodoquena Formation, Central-Brazil, that occur overlying the Neoproterozoic metacarbonates of the Corumbá Group.</w:t>
      </w:r>
    </w:p>
    <w:p>
      <w:pPr>
        <w:pStyle w:val="Normal1"/>
        <w:spacing w:lineRule="auto" w:line="240"/>
        <w:jc w:val="both"/>
        <w:rPr/>
      </w:pPr>
      <w:r>
        <w:rPr>
          <w:rFonts w:eastAsia="Times New Roman" w:cs="Times New Roman" w:ascii="Times New Roman" w:hAnsi="Times New Roman"/>
          <w:sz w:val="24"/>
          <w:szCs w:val="24"/>
          <w:lang w:val="en-US"/>
        </w:rPr>
        <w:t xml:space="preserve">Our study showed the occurrence of calcite micritic lamination with well-preserved EPS sheath structures forming moldic porosity, interpreted as an evidence of CCM process, which indicates </w:t>
      </w:r>
      <w:r>
        <w:rPr>
          <w:rFonts w:eastAsia="Times New Roman" w:cs="Times New Roman" w:ascii="Times New Roman" w:hAnsi="Times New Roman"/>
          <w:i/>
          <w:sz w:val="24"/>
          <w:szCs w:val="24"/>
          <w:lang w:val="en-US"/>
        </w:rPr>
        <w:t>In Vivo</w:t>
      </w:r>
      <w:r>
        <w:rPr>
          <w:rFonts w:eastAsia="Times New Roman" w:cs="Times New Roman" w:ascii="Times New Roman" w:hAnsi="Times New Roman"/>
          <w:sz w:val="24"/>
          <w:szCs w:val="24"/>
          <w:lang w:val="en-US"/>
        </w:rPr>
        <w:t xml:space="preserve"> precipitation. We also identified smooth rhomb crystals that might be consistent with </w:t>
      </w:r>
      <w:r>
        <w:rPr>
          <w:rFonts w:eastAsia="Times New Roman" w:cs="Times New Roman" w:ascii="Times New Roman" w:hAnsi="Times New Roman"/>
          <w:i/>
          <w:sz w:val="24"/>
          <w:szCs w:val="24"/>
          <w:lang w:val="en-US"/>
        </w:rPr>
        <w:t>Post Morten</w:t>
      </w:r>
      <w:r>
        <w:rPr>
          <w:rFonts w:eastAsia="Times New Roman" w:cs="Times New Roman" w:ascii="Times New Roman" w:hAnsi="Times New Roman"/>
          <w:sz w:val="24"/>
          <w:szCs w:val="24"/>
          <w:lang w:val="en-US"/>
        </w:rPr>
        <w:t xml:space="preserve"> precipitation. Furthermore, we interpreted the bacterial shrub laminations as the remaining products of microorganism metabolism  of the Rivulariaceae Family. The calcified cyanobacteria filaments were interpreted as Nostocaceae Family products. The chemical and isotopic results corroborated with the microorganism activity in a shallow freshwater environment, with absence of macroorganisms, such as predators and higher plants. Based on the stratigraphic position of the studied samples, our study might fill a depositional gap during the Pleistocene, where the oncoids might be related to deposition during a cold period in Central-Brazil from (18000 yr B.P to 11700 yr B.P) they possibly can be related to the Last Glacial Maximum (18000 yr B.P) and the Younger Dryas Event (12900 to 11700 yr B.P).</w:t>
      </w:r>
    </w:p>
    <w:sectPr>
      <w:type w:val="nextPage"/>
      <w:pgSz w:w="11906" w:h="16838"/>
      <w:pgMar w:left="1700" w:right="1133" w:header="0" w:top="1700" w:footer="0" w:bottom="113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isplayBackgroundShape/>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304b"/>
    <w:pPr>
      <w:widowControl/>
      <w:bidi w:val="0"/>
      <w:spacing w:lineRule="auto" w:line="276"/>
      <w:jc w:val="left"/>
    </w:pPr>
    <w:rPr>
      <w:rFonts w:ascii="Arial" w:hAnsi="Arial" w:eastAsia="Arial" w:cs="Arial"/>
      <w:color w:val="auto"/>
      <w:kern w:val="0"/>
      <w:sz w:val="22"/>
      <w:szCs w:val="22"/>
      <w:lang w:val="pt-BR" w:eastAsia="pt-BR" w:bidi="ar-SA"/>
    </w:rPr>
  </w:style>
  <w:style w:type="paragraph" w:styleId="Titre1">
    <w:name w:val="Heading 1"/>
    <w:next w:val="Normal1"/>
    <w:qFormat/>
    <w:rsid w:val="002b5e56"/>
    <w:pPr>
      <w:keepNext w:val="true"/>
      <w:keepLines/>
      <w:widowControl/>
      <w:bidi w:val="0"/>
      <w:spacing w:before="400" w:after="120" w:lineRule="auto" w:line="276"/>
      <w:jc w:val="left"/>
      <w:outlineLvl w:val="0"/>
    </w:pPr>
    <w:rPr>
      <w:rFonts w:ascii="Arial" w:hAnsi="Arial" w:eastAsia="Arial" w:cs="Arial"/>
      <w:color w:val="auto"/>
      <w:kern w:val="0"/>
      <w:sz w:val="40"/>
      <w:szCs w:val="40"/>
      <w:lang w:val="pt-BR" w:eastAsia="pt-BR" w:bidi="ar-SA"/>
    </w:rPr>
  </w:style>
  <w:style w:type="paragraph" w:styleId="Titre2">
    <w:name w:val="Heading 2"/>
    <w:next w:val="Normal1"/>
    <w:qFormat/>
    <w:rsid w:val="002b5e56"/>
    <w:pPr>
      <w:keepNext w:val="true"/>
      <w:keepLines/>
      <w:widowControl/>
      <w:bidi w:val="0"/>
      <w:spacing w:before="360" w:after="120" w:lineRule="auto" w:line="276"/>
      <w:jc w:val="left"/>
      <w:outlineLvl w:val="1"/>
    </w:pPr>
    <w:rPr>
      <w:rFonts w:ascii="Arial" w:hAnsi="Arial" w:eastAsia="Arial" w:cs="Arial"/>
      <w:color w:val="auto"/>
      <w:kern w:val="0"/>
      <w:sz w:val="32"/>
      <w:szCs w:val="32"/>
      <w:lang w:val="pt-BR" w:eastAsia="pt-BR" w:bidi="ar-SA"/>
    </w:rPr>
  </w:style>
  <w:style w:type="paragraph" w:styleId="Titre3">
    <w:name w:val="Heading 3"/>
    <w:next w:val="Normal1"/>
    <w:qFormat/>
    <w:rsid w:val="002b5e56"/>
    <w:pPr>
      <w:keepNext w:val="true"/>
      <w:keepLines/>
      <w:widowControl/>
      <w:bidi w:val="0"/>
      <w:spacing w:before="320" w:after="80" w:lineRule="auto" w:line="276"/>
      <w:jc w:val="left"/>
      <w:outlineLvl w:val="2"/>
    </w:pPr>
    <w:rPr>
      <w:rFonts w:ascii="Arial" w:hAnsi="Arial" w:eastAsia="Arial" w:cs="Arial"/>
      <w:color w:val="434343"/>
      <w:kern w:val="0"/>
      <w:sz w:val="28"/>
      <w:szCs w:val="28"/>
      <w:lang w:val="pt-BR" w:eastAsia="pt-BR" w:bidi="ar-SA"/>
    </w:rPr>
  </w:style>
  <w:style w:type="paragraph" w:styleId="Titre4">
    <w:name w:val="Heading 4"/>
    <w:next w:val="Normal1"/>
    <w:qFormat/>
    <w:rsid w:val="002b5e56"/>
    <w:pPr>
      <w:keepNext w:val="true"/>
      <w:keepLines/>
      <w:widowControl/>
      <w:bidi w:val="0"/>
      <w:spacing w:before="280" w:after="80" w:lineRule="auto" w:line="276"/>
      <w:jc w:val="left"/>
      <w:outlineLvl w:val="3"/>
    </w:pPr>
    <w:rPr>
      <w:rFonts w:ascii="Arial" w:hAnsi="Arial" w:eastAsia="Arial" w:cs="Arial"/>
      <w:color w:val="666666"/>
      <w:kern w:val="0"/>
      <w:sz w:val="24"/>
      <w:szCs w:val="24"/>
      <w:lang w:val="pt-BR" w:eastAsia="pt-BR" w:bidi="ar-SA"/>
    </w:rPr>
  </w:style>
  <w:style w:type="paragraph" w:styleId="Titre5">
    <w:name w:val="Heading 5"/>
    <w:next w:val="Normal1"/>
    <w:qFormat/>
    <w:rsid w:val="002b5e56"/>
    <w:pPr>
      <w:keepNext w:val="true"/>
      <w:keepLines/>
      <w:widowControl/>
      <w:bidi w:val="0"/>
      <w:spacing w:before="240" w:after="80" w:lineRule="auto" w:line="276"/>
      <w:jc w:val="left"/>
      <w:outlineLvl w:val="4"/>
    </w:pPr>
    <w:rPr>
      <w:rFonts w:ascii="Arial" w:hAnsi="Arial" w:eastAsia="Arial" w:cs="Arial"/>
      <w:color w:val="666666"/>
      <w:kern w:val="0"/>
      <w:sz w:val="22"/>
      <w:szCs w:val="22"/>
      <w:lang w:val="pt-BR" w:eastAsia="pt-BR" w:bidi="ar-SA"/>
    </w:rPr>
  </w:style>
  <w:style w:type="paragraph" w:styleId="Titre6">
    <w:name w:val="Heading 6"/>
    <w:next w:val="Normal1"/>
    <w:qFormat/>
    <w:rsid w:val="002b5e56"/>
    <w:pPr>
      <w:keepNext w:val="true"/>
      <w:keepLines/>
      <w:widowControl/>
      <w:bidi w:val="0"/>
      <w:spacing w:before="240" w:after="80" w:lineRule="auto" w:line="276"/>
      <w:jc w:val="left"/>
      <w:outlineLvl w:val="5"/>
    </w:pPr>
    <w:rPr>
      <w:rFonts w:ascii="Arial" w:hAnsi="Arial" w:eastAsia="Arial" w:cs="Arial"/>
      <w:i/>
      <w:color w:val="666666"/>
      <w:kern w:val="0"/>
      <w:sz w:val="22"/>
      <w:szCs w:val="22"/>
      <w:lang w:val="pt-BR" w:eastAsia="pt-B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customStyle="1">
    <w:name w:val="LO-normal"/>
    <w:qFormat/>
    <w:rsid w:val="002b5e56"/>
    <w:pPr>
      <w:widowControl/>
      <w:bidi w:val="0"/>
      <w:spacing w:lineRule="auto" w:line="276"/>
      <w:jc w:val="left"/>
    </w:pPr>
    <w:rPr>
      <w:rFonts w:ascii="Arial" w:hAnsi="Arial" w:eastAsia="Arial" w:cs="Arial"/>
      <w:color w:val="auto"/>
      <w:kern w:val="0"/>
      <w:sz w:val="22"/>
      <w:szCs w:val="22"/>
      <w:lang w:val="pt-BR" w:eastAsia="pt-BR" w:bidi="ar-SA"/>
    </w:rPr>
  </w:style>
  <w:style w:type="paragraph" w:styleId="Titreprincipal">
    <w:name w:val="Title"/>
    <w:basedOn w:val="Normal1"/>
    <w:next w:val="Normal1"/>
    <w:qFormat/>
    <w:rsid w:val="002b5e56"/>
    <w:pPr>
      <w:keepNext w:val="true"/>
      <w:keepLines/>
      <w:spacing w:before="0" w:after="60"/>
    </w:pPr>
    <w:rPr>
      <w:sz w:val="52"/>
      <w:szCs w:val="52"/>
    </w:rPr>
  </w:style>
  <w:style w:type="paragraph" w:styleId="Soustitre">
    <w:name w:val="Subtitle"/>
    <w:basedOn w:val="Normal1"/>
    <w:next w:val="Normal1"/>
    <w:qFormat/>
    <w:rsid w:val="002b5e56"/>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2b5e5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LibreOffice/6.2.5.2$Windows_X86_64 LibreOffice_project/1ec314fa52f458adc18c4f025c545a4e8b22c159</Application>
  <Pages>1</Pages>
  <Words>376</Words>
  <Characters>2356</Characters>
  <CharactersWithSpaces>2728</CharactersWithSpaces>
  <Paragraphs>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2021-07-15T21:46:00Z</dcterms:created>
  <dc:creator/>
  <dc:description/>
  <dc:language>fr-FR</dc:language>
  <cp:lastModifiedBy/>
  <dcterms:modified xsi:type="dcterms:W3CDTF">2021-09-15T22:08:58Z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