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rFonts w:ascii="Times New Roman" w:hAnsi="Times New Roman"/>
          <w:b/>
          <w:b/>
          <w:sz w:val="28"/>
          <w:szCs w:val="28"/>
          <w:lang w:val="en-US"/>
        </w:rPr>
      </w:pPr>
      <w:r>
        <w:rPr>
          <w:rFonts w:ascii="Times New Roman" w:hAnsi="Times New Roman"/>
          <w:b/>
          <w:sz w:val="28"/>
          <w:szCs w:val="28"/>
          <w:lang w:val="en-US"/>
        </w:rPr>
        <w:t>Different cyanobacterial communities share same functions in microbialites</w:t>
      </w:r>
    </w:p>
    <w:p>
      <w:pPr>
        <w:pStyle w:val="Normal"/>
        <w:spacing w:lineRule="auto" w:line="240"/>
        <w:jc w:val="center"/>
        <w:rPr>
          <w:rFonts w:ascii="Times New Roman" w:hAnsi="Times New Roman"/>
          <w:b/>
          <w:b/>
          <w:sz w:val="28"/>
          <w:szCs w:val="28"/>
          <w:lang w:val="en-US"/>
        </w:rPr>
      </w:pPr>
      <w:r>
        <w:rPr>
          <w:rFonts w:ascii="Times New Roman" w:hAnsi="Times New Roman"/>
          <w:b/>
          <w:sz w:val="28"/>
          <w:szCs w:val="28"/>
          <w:lang w:val="en-US"/>
        </w:rPr>
      </w:r>
    </w:p>
    <w:p>
      <w:pPr>
        <w:pStyle w:val="Normal"/>
        <w:spacing w:lineRule="auto" w:line="240"/>
        <w:jc w:val="center"/>
        <w:rPr/>
      </w:pPr>
      <w:r>
        <w:rPr>
          <w:rFonts w:ascii="Times New Roman" w:hAnsi="Times New Roman"/>
          <w:sz w:val="24"/>
          <w:szCs w:val="28"/>
          <w:u w:val="single"/>
          <w:lang w:val="es-MX"/>
        </w:rPr>
        <w:t>B. Águila</w:t>
      </w:r>
      <w:r>
        <w:rPr>
          <w:rFonts w:ascii="Times New Roman" w:hAnsi="Times New Roman"/>
          <w:sz w:val="24"/>
          <w:szCs w:val="28"/>
          <w:u w:val="single"/>
          <w:vertAlign w:val="superscript"/>
          <w:lang w:val="es-MX"/>
        </w:rPr>
        <w:t>1</w:t>
      </w:r>
      <w:r>
        <w:rPr>
          <w:rFonts w:ascii="Times New Roman" w:hAnsi="Times New Roman"/>
          <w:sz w:val="24"/>
          <w:szCs w:val="28"/>
          <w:lang w:val="es-MX"/>
        </w:rPr>
        <w:t>, A. Yánez-Montalvo</w:t>
      </w:r>
      <w:r>
        <w:rPr>
          <w:rFonts w:ascii="Times New Roman" w:hAnsi="Times New Roman"/>
          <w:sz w:val="24"/>
          <w:szCs w:val="28"/>
          <w:vertAlign w:val="superscript"/>
          <w:lang w:val="es-MX"/>
        </w:rPr>
        <w:t>2</w:t>
      </w:r>
      <w:r>
        <w:rPr>
          <w:rFonts w:ascii="Times New Roman" w:hAnsi="Times New Roman"/>
          <w:sz w:val="24"/>
          <w:szCs w:val="28"/>
          <w:lang w:val="es-MX"/>
        </w:rPr>
        <w:t>, R. A. Mercado-Juárez</w:t>
      </w:r>
      <w:r>
        <w:rPr>
          <w:rFonts w:ascii="Times New Roman" w:hAnsi="Times New Roman"/>
          <w:sz w:val="24"/>
          <w:szCs w:val="28"/>
          <w:vertAlign w:val="superscript"/>
          <w:lang w:val="es-MX"/>
        </w:rPr>
        <w:t>1</w:t>
      </w:r>
      <w:r>
        <w:rPr>
          <w:rFonts w:ascii="Times New Roman" w:hAnsi="Times New Roman"/>
          <w:sz w:val="24"/>
          <w:szCs w:val="28"/>
          <w:lang w:val="es-MX"/>
        </w:rPr>
        <w:t>, I. Becerra-Absalón</w:t>
      </w:r>
      <w:r>
        <w:rPr>
          <w:rFonts w:ascii="Times New Roman" w:hAnsi="Times New Roman"/>
          <w:sz w:val="24"/>
          <w:szCs w:val="28"/>
          <w:vertAlign w:val="superscript"/>
          <w:lang w:val="es-MX"/>
        </w:rPr>
        <w:t>3</w:t>
      </w:r>
      <w:r>
        <w:rPr>
          <w:rFonts w:ascii="Times New Roman" w:hAnsi="Times New Roman"/>
          <w:sz w:val="24"/>
          <w:szCs w:val="28"/>
          <w:lang w:val="es-MX"/>
        </w:rPr>
        <w:t>, G. Montejano</w:t>
      </w:r>
      <w:r>
        <w:rPr>
          <w:rFonts w:ascii="Times New Roman" w:hAnsi="Times New Roman"/>
          <w:sz w:val="24"/>
          <w:szCs w:val="28"/>
          <w:vertAlign w:val="superscript"/>
          <w:lang w:val="es-MX"/>
        </w:rPr>
        <w:t>3</w:t>
      </w:r>
      <w:r>
        <w:rPr>
          <w:rFonts w:ascii="Times New Roman" w:hAnsi="Times New Roman"/>
          <w:sz w:val="24"/>
          <w:szCs w:val="28"/>
          <w:lang w:val="es-MX"/>
        </w:rPr>
        <w:t>, L. Falcón</w:t>
      </w:r>
      <w:r>
        <w:rPr>
          <w:rFonts w:ascii="Times New Roman" w:hAnsi="Times New Roman"/>
          <w:sz w:val="24"/>
          <w:szCs w:val="28"/>
          <w:vertAlign w:val="superscript"/>
          <w:lang w:val="es-MX"/>
        </w:rPr>
        <w:t xml:space="preserve">1, * </w:t>
      </w:r>
    </w:p>
    <w:p>
      <w:pPr>
        <w:pStyle w:val="Normal"/>
        <w:spacing w:lineRule="auto" w:line="240" w:before="0" w:after="0"/>
        <w:jc w:val="center"/>
        <w:rPr>
          <w:rFonts w:ascii="Times New Roman" w:hAnsi="Times New Roman"/>
          <w:i/>
          <w:i/>
          <w:sz w:val="20"/>
          <w:szCs w:val="28"/>
        </w:rPr>
      </w:pPr>
      <w:r>
        <w:rPr>
          <w:rFonts w:ascii="Times New Roman" w:hAnsi="Times New Roman"/>
          <w:i/>
          <w:sz w:val="20"/>
          <w:szCs w:val="28"/>
          <w:vertAlign w:val="superscript"/>
        </w:rPr>
        <w:t>1</w:t>
      </w:r>
      <w:r>
        <w:rPr>
          <w:rFonts w:ascii="Times New Roman" w:hAnsi="Times New Roman"/>
          <w:i/>
          <w:sz w:val="20"/>
          <w:szCs w:val="28"/>
        </w:rPr>
        <w:t xml:space="preserve"> Instituto de Ecología, UNAM, Campus Yucatán 97302 Mexico</w:t>
      </w:r>
    </w:p>
    <w:p>
      <w:pPr>
        <w:pStyle w:val="Normal"/>
        <w:spacing w:lineRule="auto" w:line="240" w:before="0" w:after="0"/>
        <w:jc w:val="center"/>
        <w:rPr>
          <w:rFonts w:ascii="Times New Roman" w:hAnsi="Times New Roman"/>
          <w:i/>
          <w:i/>
          <w:sz w:val="20"/>
          <w:szCs w:val="28"/>
        </w:rPr>
      </w:pPr>
      <w:r>
        <w:rPr>
          <w:rFonts w:ascii="Times New Roman" w:hAnsi="Times New Roman"/>
          <w:i/>
          <w:sz w:val="20"/>
          <w:szCs w:val="28"/>
          <w:vertAlign w:val="superscript"/>
        </w:rPr>
        <w:t>2</w:t>
      </w:r>
      <w:r>
        <w:rPr>
          <w:rFonts w:ascii="Times New Roman" w:hAnsi="Times New Roman"/>
          <w:i/>
          <w:sz w:val="20"/>
          <w:szCs w:val="28"/>
        </w:rPr>
        <w:t xml:space="preserve"> ECOSUR Chetumal, Av. Centenario Km. 5.5, Chetumal, Quintana Roo, 77014, Mexico</w:t>
      </w:r>
    </w:p>
    <w:p>
      <w:pPr>
        <w:pStyle w:val="Normal"/>
        <w:spacing w:lineRule="auto" w:line="240" w:before="0" w:after="0"/>
        <w:jc w:val="center"/>
        <w:rPr>
          <w:rFonts w:ascii="Times New Roman" w:hAnsi="Times New Roman"/>
          <w:i/>
          <w:i/>
          <w:sz w:val="20"/>
          <w:szCs w:val="28"/>
        </w:rPr>
      </w:pPr>
      <w:r>
        <w:rPr>
          <w:rFonts w:ascii="Times New Roman" w:hAnsi="Times New Roman"/>
          <w:i/>
          <w:sz w:val="20"/>
          <w:szCs w:val="28"/>
          <w:vertAlign w:val="superscript"/>
        </w:rPr>
        <w:t xml:space="preserve">3 </w:t>
      </w:r>
      <w:r>
        <w:rPr>
          <w:rFonts w:ascii="Times New Roman" w:hAnsi="Times New Roman"/>
          <w:i/>
          <w:sz w:val="20"/>
          <w:szCs w:val="28"/>
        </w:rPr>
        <w:t>Laboratorio de Ficología, Facultad de Ciencias, Av. Universidad 3000, Mexico City, 04510, Mexico</w:t>
      </w:r>
    </w:p>
    <w:p>
      <w:pPr>
        <w:pStyle w:val="Normal"/>
        <w:spacing w:lineRule="auto" w:line="240" w:before="0" w:after="0"/>
        <w:jc w:val="center"/>
        <w:rPr>
          <w:rFonts w:ascii="Times New Roman" w:hAnsi="Times New Roman"/>
          <w:i/>
          <w:i/>
          <w:sz w:val="20"/>
          <w:szCs w:val="28"/>
        </w:rPr>
      </w:pPr>
      <w:r>
        <w:rPr>
          <w:rFonts w:ascii="Times New Roman" w:hAnsi="Times New Roman"/>
          <w:i/>
          <w:sz w:val="20"/>
          <w:szCs w:val="28"/>
        </w:rPr>
        <w:t>* luisaifalcon@gmail.com</w:t>
      </w:r>
    </w:p>
    <w:p>
      <w:pPr>
        <w:pStyle w:val="Normal"/>
        <w:spacing w:lineRule="auto" w:line="240"/>
        <w:jc w:val="center"/>
        <w:rPr>
          <w:rFonts w:ascii="Times New Roman" w:hAnsi="Times New Roman"/>
          <w:sz w:val="24"/>
          <w:szCs w:val="28"/>
          <w:lang w:val="en-US"/>
        </w:rPr>
      </w:pPr>
      <w:r>
        <w:rPr/>
      </w:r>
    </w:p>
    <w:p>
      <w:pPr>
        <w:pStyle w:val="Normal"/>
        <w:spacing w:lineRule="auto" w:line="240"/>
        <w:jc w:val="both"/>
        <w:rPr>
          <w:rFonts w:ascii="Times New Roman" w:hAnsi="Times New Roman"/>
          <w:sz w:val="24"/>
          <w:szCs w:val="28"/>
          <w:lang w:val="en-US"/>
        </w:rPr>
      </w:pPr>
      <w:r>
        <w:rPr>
          <w:rFonts w:ascii="Times New Roman" w:hAnsi="Times New Roman"/>
          <w:sz w:val="24"/>
          <w:szCs w:val="28"/>
          <w:lang w:val="en-US"/>
        </w:rPr>
        <w:t>Bacalar Lagoon (BL) is part of a geological fault in the Yucatan Peninsula extending over 40 km. To this date, BL is considered the site with the highest occurrence of freshwater microbialites in the world (Gischler et al. 2008; Beltrán et al. 2012; Centeno et al. 2012; Johnson et al. 2018). Cenote Azul (CA) is a 90 m depth sinkhole, it has 200 m in diameter and is separated from BL by 100 m. Recently, microbialites have been described in CA up to 30 m in depth (Yanez-Montalvo et al., 2021). Both BL and CA are oligotrophic fresh water karst systems connected by the same subterranean flow. Although BL and CA share similar hydro geochemical characteristics, they have differential biological components, including fish, aquatic mites, zooplankton and different prokaryotic communities (Montes-Ortiz &amp; Elías-Gutiérrez, 2018; Perry et al., 2019; Yanez-Montalvo et al., 2021). Cyanobacteria have been described to be important in the genesis of microbialites because they trap and bind detritus actively and passively precipitate carbonates (Dupraz et al., 2009; Chagas, 2016).</w:t>
      </w:r>
    </w:p>
    <w:p>
      <w:pPr>
        <w:pStyle w:val="Normal"/>
        <w:spacing w:lineRule="auto" w:line="240"/>
        <w:jc w:val="both"/>
        <w:rPr>
          <w:rFonts w:ascii="Times New Roman" w:hAnsi="Times New Roman"/>
          <w:sz w:val="24"/>
          <w:szCs w:val="28"/>
          <w:lang w:val="en-US"/>
        </w:rPr>
      </w:pPr>
      <w:r>
        <w:rPr>
          <w:rFonts w:ascii="Times New Roman" w:hAnsi="Times New Roman"/>
          <w:sz w:val="24"/>
          <w:szCs w:val="28"/>
          <w:lang w:val="en-US"/>
        </w:rPr>
        <w:t>In this work, the cyanobacterial components of microbialites from</w:t>
      </w:r>
      <w:bookmarkStart w:id="0" w:name="_GoBack"/>
      <w:bookmarkEnd w:id="0"/>
      <w:r>
        <w:rPr>
          <w:rFonts w:ascii="Times New Roman" w:hAnsi="Times New Roman"/>
          <w:sz w:val="24"/>
          <w:szCs w:val="28"/>
          <w:lang w:val="en-US"/>
        </w:rPr>
        <w:t xml:space="preserve"> BL and CA (Quintana Roo, Mexico), were characterized by a polyphasic method. BL microbialites were studied along a longitudinal gradient (north to south) while CA microbialites along a depth gradient (5-30 m).  Culture-dependent techniques, along with 16S amplicon sequencing and shotgun metagenomics were used. The molecular data was validated with microscopic observations from field samples, cultures and descriptions from previous works. BL and CA microbialites showed differential cyanobacterial composition attributed to nutrient and light concentrations. Both sites exhibited previously unknown taxa of Cyanobacteria. CA was dominated by an unknown Chroococcales cyanobacterium, while BL was dominated by Nostocales. Interestingly, no differences were found in the cyanobacterial communities at the metabolic/function level.</w:t>
      </w:r>
    </w:p>
    <w:p>
      <w:pPr>
        <w:pStyle w:val="ListParagraph"/>
        <w:numPr>
          <w:ilvl w:val="0"/>
          <w:numId w:val="1"/>
        </w:numPr>
        <w:spacing w:lineRule="auto" w:line="240"/>
        <w:ind w:left="284" w:hanging="284"/>
        <w:jc w:val="both"/>
        <w:rPr>
          <w:rFonts w:ascii="Times New Roman" w:hAnsi="Times New Roman"/>
          <w:sz w:val="20"/>
          <w:szCs w:val="28"/>
          <w:lang w:val="es-MX"/>
        </w:rPr>
      </w:pPr>
      <w:r>
        <w:rPr>
          <w:rFonts w:ascii="Times New Roman" w:hAnsi="Times New Roman"/>
          <w:sz w:val="20"/>
          <w:szCs w:val="28"/>
          <w:lang w:val="es-MX"/>
        </w:rPr>
        <w:t xml:space="preserve">Beltrán, Y., Centeno, C. M., García-Oliva, F., Legendre, P., &amp; Falcón, L. I. </w:t>
      </w:r>
      <w:r>
        <w:rPr>
          <w:rFonts w:ascii="Times New Roman" w:hAnsi="Times New Roman"/>
          <w:b/>
          <w:sz w:val="20"/>
          <w:szCs w:val="28"/>
          <w:lang w:val="es-MX"/>
        </w:rPr>
        <w:t>2012</w:t>
      </w:r>
      <w:r>
        <w:rPr>
          <w:rFonts w:ascii="Times New Roman" w:hAnsi="Times New Roman"/>
          <w:sz w:val="20"/>
          <w:szCs w:val="28"/>
          <w:lang w:val="es-MX"/>
        </w:rPr>
        <w:t xml:space="preserve">, Aquatic microbial ecology, </w:t>
      </w:r>
      <w:r>
        <w:rPr>
          <w:rFonts w:ascii="Times New Roman" w:hAnsi="Times New Roman"/>
          <w:i/>
          <w:sz w:val="20"/>
          <w:szCs w:val="28"/>
          <w:lang w:val="es-MX"/>
        </w:rPr>
        <w:t>67</w:t>
      </w:r>
      <w:r>
        <w:rPr>
          <w:rFonts w:ascii="Times New Roman" w:hAnsi="Times New Roman"/>
          <w:sz w:val="20"/>
          <w:szCs w:val="28"/>
          <w:lang w:val="es-MX"/>
        </w:rPr>
        <w:t>(1), 15-24.</w:t>
      </w:r>
    </w:p>
    <w:p>
      <w:pPr>
        <w:pStyle w:val="ListParagraph"/>
        <w:numPr>
          <w:ilvl w:val="0"/>
          <w:numId w:val="1"/>
        </w:numPr>
        <w:spacing w:lineRule="auto" w:line="240"/>
        <w:ind w:left="284" w:hanging="284"/>
        <w:jc w:val="both"/>
        <w:rPr>
          <w:rFonts w:ascii="Times New Roman" w:hAnsi="Times New Roman"/>
          <w:sz w:val="20"/>
          <w:szCs w:val="28"/>
          <w:lang w:val="es-MX"/>
        </w:rPr>
      </w:pPr>
      <w:r>
        <w:rPr>
          <w:rFonts w:ascii="Times New Roman" w:hAnsi="Times New Roman"/>
          <w:sz w:val="20"/>
          <w:szCs w:val="28"/>
          <w:lang w:val="es-MX"/>
        </w:rPr>
        <w:t xml:space="preserve">Centeno, C. M., Legendre, P., Beltrán, Y., Alcántara-Hernández, R. J., Lidström, U. E., Ashby, M. N., &amp; Falcón, L. I. </w:t>
      </w:r>
      <w:r>
        <w:rPr>
          <w:rFonts w:ascii="Times New Roman" w:hAnsi="Times New Roman"/>
          <w:b/>
          <w:sz w:val="20"/>
          <w:szCs w:val="28"/>
          <w:lang w:val="es-MX"/>
        </w:rPr>
        <w:t>2012</w:t>
      </w:r>
      <w:r>
        <w:rPr>
          <w:rFonts w:ascii="Times New Roman" w:hAnsi="Times New Roman"/>
          <w:sz w:val="20"/>
          <w:szCs w:val="28"/>
          <w:lang w:val="es-MX"/>
        </w:rPr>
        <w:t xml:space="preserve">, FEMS microbiology ecology, </w:t>
      </w:r>
      <w:r>
        <w:rPr>
          <w:rFonts w:ascii="Times New Roman" w:hAnsi="Times New Roman"/>
          <w:i/>
          <w:sz w:val="20"/>
          <w:szCs w:val="28"/>
          <w:lang w:val="es-MX"/>
        </w:rPr>
        <w:t>82</w:t>
      </w:r>
      <w:r>
        <w:rPr>
          <w:rFonts w:ascii="Times New Roman" w:hAnsi="Times New Roman"/>
          <w:sz w:val="20"/>
          <w:szCs w:val="28"/>
          <w:lang w:val="es-MX"/>
        </w:rPr>
        <w:t>(3), 724-735.</w:t>
      </w:r>
    </w:p>
    <w:p>
      <w:pPr>
        <w:pStyle w:val="ListParagraph"/>
        <w:numPr>
          <w:ilvl w:val="0"/>
          <w:numId w:val="1"/>
        </w:numPr>
        <w:spacing w:lineRule="auto" w:line="240"/>
        <w:ind w:left="284" w:hanging="284"/>
        <w:jc w:val="both"/>
        <w:rPr>
          <w:rFonts w:ascii="Times New Roman" w:hAnsi="Times New Roman"/>
          <w:sz w:val="20"/>
          <w:szCs w:val="28"/>
          <w:lang w:val="en-US"/>
        </w:rPr>
      </w:pPr>
      <w:r>
        <w:rPr>
          <w:rFonts w:ascii="Times New Roman" w:hAnsi="Times New Roman"/>
          <w:sz w:val="20"/>
          <w:szCs w:val="28"/>
          <w:lang w:val="en-US"/>
        </w:rPr>
        <w:t xml:space="preserve">Chagas, A. A., Webb, G. E., Burne, R. V., &amp; Southam, G. </w:t>
      </w:r>
      <w:r>
        <w:rPr>
          <w:rFonts w:ascii="Times New Roman" w:hAnsi="Times New Roman"/>
          <w:b/>
          <w:sz w:val="20"/>
          <w:szCs w:val="28"/>
          <w:lang w:val="en-US"/>
        </w:rPr>
        <w:t>2016</w:t>
      </w:r>
      <w:r>
        <w:rPr>
          <w:rFonts w:ascii="Times New Roman" w:hAnsi="Times New Roman"/>
          <w:sz w:val="20"/>
          <w:szCs w:val="28"/>
          <w:lang w:val="en-US"/>
        </w:rPr>
        <w:t xml:space="preserve">, Earth-Science Reviews, </w:t>
      </w:r>
      <w:r>
        <w:rPr>
          <w:rFonts w:ascii="Times New Roman" w:hAnsi="Times New Roman"/>
          <w:i/>
          <w:sz w:val="20"/>
          <w:szCs w:val="28"/>
          <w:lang w:val="en-US"/>
        </w:rPr>
        <w:t>162</w:t>
      </w:r>
      <w:r>
        <w:rPr>
          <w:rFonts w:ascii="Times New Roman" w:hAnsi="Times New Roman"/>
          <w:sz w:val="20"/>
          <w:szCs w:val="28"/>
          <w:lang w:val="en-US"/>
        </w:rPr>
        <w:t>, 338-363.</w:t>
      </w:r>
    </w:p>
    <w:p>
      <w:pPr>
        <w:pStyle w:val="ListParagraph"/>
        <w:numPr>
          <w:ilvl w:val="0"/>
          <w:numId w:val="1"/>
        </w:numPr>
        <w:spacing w:lineRule="auto" w:line="240"/>
        <w:ind w:left="284" w:hanging="284"/>
        <w:jc w:val="both"/>
        <w:rPr>
          <w:rFonts w:ascii="Times New Roman" w:hAnsi="Times New Roman"/>
          <w:sz w:val="20"/>
          <w:szCs w:val="28"/>
          <w:lang w:val="en-US"/>
        </w:rPr>
      </w:pPr>
      <w:r>
        <w:rPr>
          <w:rFonts w:ascii="Times New Roman" w:hAnsi="Times New Roman"/>
          <w:sz w:val="20"/>
          <w:szCs w:val="28"/>
          <w:lang w:val="en-US"/>
        </w:rPr>
        <w:t xml:space="preserve">Dupraz, C., Reid, R. P., Braissant, O., Decho, A. W., Norman, R. S., &amp; Visscher, P. T. </w:t>
      </w:r>
      <w:r>
        <w:rPr>
          <w:rFonts w:ascii="Times New Roman" w:hAnsi="Times New Roman"/>
          <w:b/>
          <w:sz w:val="20"/>
          <w:szCs w:val="28"/>
          <w:lang w:val="en-US"/>
        </w:rPr>
        <w:t>2009</w:t>
      </w:r>
      <w:r>
        <w:rPr>
          <w:rFonts w:ascii="Times New Roman" w:hAnsi="Times New Roman"/>
          <w:sz w:val="20"/>
          <w:szCs w:val="28"/>
          <w:lang w:val="en-US"/>
        </w:rPr>
        <w:t xml:space="preserve">, Earth-Science Reviews, </w:t>
      </w:r>
      <w:r>
        <w:rPr>
          <w:rFonts w:ascii="Times New Roman" w:hAnsi="Times New Roman"/>
          <w:i/>
          <w:sz w:val="20"/>
          <w:szCs w:val="28"/>
          <w:lang w:val="en-US"/>
        </w:rPr>
        <w:t>96</w:t>
      </w:r>
      <w:r>
        <w:rPr>
          <w:rFonts w:ascii="Times New Roman" w:hAnsi="Times New Roman"/>
          <w:sz w:val="20"/>
          <w:szCs w:val="28"/>
          <w:lang w:val="en-US"/>
        </w:rPr>
        <w:t>(3), 141-162.</w:t>
      </w:r>
    </w:p>
    <w:p>
      <w:pPr>
        <w:pStyle w:val="ListParagraph"/>
        <w:numPr>
          <w:ilvl w:val="0"/>
          <w:numId w:val="1"/>
        </w:numPr>
        <w:spacing w:lineRule="auto" w:line="240"/>
        <w:ind w:left="284" w:hanging="284"/>
        <w:jc w:val="both"/>
        <w:rPr>
          <w:rFonts w:ascii="Times New Roman" w:hAnsi="Times New Roman"/>
          <w:sz w:val="20"/>
          <w:szCs w:val="28"/>
          <w:lang w:val="en-US"/>
        </w:rPr>
      </w:pPr>
      <w:r>
        <w:rPr>
          <w:rFonts w:ascii="Times New Roman" w:hAnsi="Times New Roman"/>
          <w:sz w:val="20"/>
          <w:szCs w:val="28"/>
          <w:lang w:val="en-US"/>
        </w:rPr>
        <w:t xml:space="preserve">Gischler, E., Gibson, M. A., &amp; Oschmann, W. </w:t>
      </w:r>
      <w:r>
        <w:rPr>
          <w:rFonts w:ascii="Times New Roman" w:hAnsi="Times New Roman"/>
          <w:b/>
          <w:sz w:val="20"/>
          <w:szCs w:val="28"/>
          <w:lang w:val="en-US"/>
        </w:rPr>
        <w:t>2008</w:t>
      </w:r>
      <w:r>
        <w:rPr>
          <w:rFonts w:ascii="Times New Roman" w:hAnsi="Times New Roman"/>
          <w:sz w:val="20"/>
          <w:szCs w:val="28"/>
          <w:lang w:val="en-US"/>
        </w:rPr>
        <w:t xml:space="preserve">, Sedimentology </w:t>
      </w:r>
      <w:r>
        <w:rPr>
          <w:rFonts w:ascii="Times New Roman" w:hAnsi="Times New Roman"/>
          <w:i/>
          <w:sz w:val="20"/>
          <w:szCs w:val="28"/>
          <w:lang w:val="en-US"/>
        </w:rPr>
        <w:t>55</w:t>
      </w:r>
      <w:r>
        <w:rPr>
          <w:rFonts w:ascii="Times New Roman" w:hAnsi="Times New Roman"/>
          <w:sz w:val="20"/>
          <w:szCs w:val="28"/>
          <w:lang w:val="en-US"/>
        </w:rPr>
        <w:t>(5), 1293-1309.</w:t>
      </w:r>
    </w:p>
    <w:p>
      <w:pPr>
        <w:pStyle w:val="ListParagraph"/>
        <w:numPr>
          <w:ilvl w:val="0"/>
          <w:numId w:val="1"/>
        </w:numPr>
        <w:spacing w:lineRule="auto" w:line="240"/>
        <w:ind w:left="284" w:hanging="284"/>
        <w:jc w:val="both"/>
        <w:rPr>
          <w:rFonts w:ascii="Times New Roman" w:hAnsi="Times New Roman"/>
          <w:sz w:val="20"/>
          <w:szCs w:val="28"/>
          <w:lang w:val="en-US"/>
        </w:rPr>
      </w:pPr>
      <w:r>
        <w:rPr>
          <w:rFonts w:ascii="Times New Roman" w:hAnsi="Times New Roman"/>
          <w:sz w:val="20"/>
          <w:szCs w:val="28"/>
          <w:lang w:val="en-US"/>
        </w:rPr>
        <w:t xml:space="preserve">Johnson, D. B., Beddows, P. A., Flynn, T. M., &amp; Osburn, M. R. </w:t>
      </w:r>
      <w:r>
        <w:rPr>
          <w:rFonts w:ascii="Times New Roman" w:hAnsi="Times New Roman"/>
          <w:b/>
          <w:sz w:val="20"/>
          <w:szCs w:val="28"/>
          <w:lang w:val="en-US"/>
        </w:rPr>
        <w:t>2018</w:t>
      </w:r>
      <w:r>
        <w:rPr>
          <w:rFonts w:ascii="Times New Roman" w:hAnsi="Times New Roman"/>
          <w:sz w:val="20"/>
          <w:szCs w:val="28"/>
          <w:lang w:val="en-US"/>
        </w:rPr>
        <w:t xml:space="preserve">, Geobiology, </w:t>
      </w:r>
      <w:r>
        <w:rPr>
          <w:rFonts w:ascii="Times New Roman" w:hAnsi="Times New Roman"/>
          <w:i/>
          <w:sz w:val="20"/>
          <w:szCs w:val="28"/>
          <w:lang w:val="en-US"/>
        </w:rPr>
        <w:t>16</w:t>
      </w:r>
      <w:r>
        <w:rPr>
          <w:rFonts w:ascii="Times New Roman" w:hAnsi="Times New Roman"/>
          <w:sz w:val="20"/>
          <w:szCs w:val="28"/>
          <w:lang w:val="en-US"/>
        </w:rPr>
        <w:t>(3), 319-337.</w:t>
      </w:r>
    </w:p>
    <w:p>
      <w:pPr>
        <w:pStyle w:val="ListParagraph"/>
        <w:numPr>
          <w:ilvl w:val="0"/>
          <w:numId w:val="1"/>
        </w:numPr>
        <w:spacing w:lineRule="auto" w:line="240"/>
        <w:ind w:left="284" w:hanging="284"/>
        <w:jc w:val="both"/>
        <w:rPr>
          <w:rFonts w:ascii="Times New Roman" w:hAnsi="Times New Roman"/>
          <w:sz w:val="20"/>
          <w:szCs w:val="28"/>
          <w:lang w:val="en-US"/>
        </w:rPr>
      </w:pPr>
      <w:r>
        <w:rPr>
          <w:rFonts w:ascii="Times New Roman" w:hAnsi="Times New Roman"/>
          <w:sz w:val="20"/>
          <w:szCs w:val="28"/>
          <w:lang w:val="en-US"/>
        </w:rPr>
        <w:t xml:space="preserve">Montes-Ortiz, L., &amp; Elias-Gutierrez, M. </w:t>
      </w:r>
      <w:r>
        <w:rPr>
          <w:rFonts w:ascii="Times New Roman" w:hAnsi="Times New Roman"/>
          <w:b/>
          <w:sz w:val="20"/>
          <w:szCs w:val="28"/>
          <w:lang w:val="en-US"/>
        </w:rPr>
        <w:t>2018</w:t>
      </w:r>
      <w:r>
        <w:rPr>
          <w:rFonts w:ascii="Times New Roman" w:hAnsi="Times New Roman"/>
          <w:sz w:val="20"/>
          <w:szCs w:val="28"/>
          <w:lang w:val="en-US"/>
        </w:rPr>
        <w:t xml:space="preserve">, Journal of Limnology, </w:t>
      </w:r>
      <w:r>
        <w:rPr>
          <w:rFonts w:ascii="Times New Roman" w:hAnsi="Times New Roman"/>
          <w:i/>
          <w:sz w:val="20"/>
          <w:szCs w:val="28"/>
          <w:lang w:val="en-US"/>
        </w:rPr>
        <w:t>77</w:t>
      </w:r>
      <w:r>
        <w:rPr>
          <w:rFonts w:ascii="Times New Roman" w:hAnsi="Times New Roman"/>
          <w:sz w:val="20"/>
          <w:szCs w:val="28"/>
          <w:lang w:val="en-US"/>
        </w:rPr>
        <w:t>(3).</w:t>
      </w:r>
    </w:p>
    <w:p>
      <w:pPr>
        <w:pStyle w:val="ListParagraph"/>
        <w:numPr>
          <w:ilvl w:val="0"/>
          <w:numId w:val="1"/>
        </w:numPr>
        <w:spacing w:lineRule="auto" w:line="240"/>
        <w:ind w:left="284" w:hanging="284"/>
        <w:jc w:val="both"/>
        <w:rPr>
          <w:rFonts w:ascii="Times New Roman" w:hAnsi="Times New Roman"/>
          <w:sz w:val="20"/>
          <w:szCs w:val="28"/>
          <w:lang w:val="es-MX"/>
        </w:rPr>
      </w:pPr>
      <w:r>
        <w:rPr>
          <w:rFonts w:ascii="Times New Roman" w:hAnsi="Times New Roman"/>
          <w:sz w:val="20"/>
          <w:szCs w:val="28"/>
          <w:lang w:val="es-MX"/>
        </w:rPr>
        <w:t xml:space="preserve">Perry, E. C., Velazquez-Oliman, G., Leal-Bautista, R. M., &amp; Dunning, N. P. </w:t>
      </w:r>
      <w:r>
        <w:rPr>
          <w:rFonts w:ascii="Times New Roman" w:hAnsi="Times New Roman"/>
          <w:b/>
          <w:sz w:val="20"/>
          <w:szCs w:val="28"/>
          <w:lang w:val="es-MX"/>
        </w:rPr>
        <w:t>2019</w:t>
      </w:r>
      <w:r>
        <w:rPr>
          <w:rFonts w:ascii="Times New Roman" w:hAnsi="Times New Roman"/>
          <w:sz w:val="20"/>
          <w:szCs w:val="28"/>
          <w:lang w:val="es-MX"/>
        </w:rPr>
        <w:t xml:space="preserve">, Boletín de la Sociedad Geológica Mexicana, </w:t>
      </w:r>
      <w:r>
        <w:rPr>
          <w:rFonts w:ascii="Times New Roman" w:hAnsi="Times New Roman"/>
          <w:i/>
          <w:sz w:val="20"/>
          <w:szCs w:val="28"/>
          <w:lang w:val="es-MX"/>
        </w:rPr>
        <w:t>71</w:t>
      </w:r>
      <w:r>
        <w:rPr>
          <w:rFonts w:ascii="Times New Roman" w:hAnsi="Times New Roman"/>
          <w:sz w:val="20"/>
          <w:szCs w:val="28"/>
          <w:lang w:val="es-MX"/>
        </w:rPr>
        <w:t>(3), 741-760.</w:t>
      </w:r>
    </w:p>
    <w:p>
      <w:pPr>
        <w:pStyle w:val="ListParagraph"/>
        <w:numPr>
          <w:ilvl w:val="0"/>
          <w:numId w:val="1"/>
        </w:numPr>
        <w:spacing w:lineRule="auto" w:line="240" w:before="0" w:after="200"/>
        <w:ind w:left="284" w:hanging="284"/>
        <w:contextualSpacing/>
        <w:jc w:val="both"/>
        <w:rPr/>
      </w:pPr>
      <w:r>
        <w:rPr>
          <w:rFonts w:ascii="Times New Roman" w:hAnsi="Times New Roman"/>
          <w:sz w:val="20"/>
          <w:szCs w:val="28"/>
          <w:lang w:val="es-MX"/>
        </w:rPr>
        <w:t xml:space="preserve">Yanez-Montalvo, A., Águila, B., Gómez-Acata, S., Mass-Vargas, M., Cabanillas-Terán, N., Vega-Zepeda, A. &amp; Falcón, L. I. </w:t>
      </w:r>
      <w:r>
        <w:rPr>
          <w:rFonts w:ascii="Times New Roman" w:hAnsi="Times New Roman"/>
          <w:b/>
          <w:sz w:val="20"/>
          <w:szCs w:val="28"/>
          <w:lang w:val="es-MX"/>
        </w:rPr>
        <w:t>2021</w:t>
      </w:r>
      <w:r>
        <w:rPr>
          <w:rFonts w:ascii="Times New Roman" w:hAnsi="Times New Roman"/>
          <w:sz w:val="20"/>
          <w:szCs w:val="28"/>
          <w:lang w:val="es-MX"/>
        </w:rPr>
        <w:t xml:space="preserve">. Geomicrobiology Journal, </w:t>
      </w:r>
      <w:r>
        <w:rPr>
          <w:rFonts w:ascii="Times New Roman" w:hAnsi="Times New Roman"/>
          <w:i/>
          <w:sz w:val="20"/>
          <w:szCs w:val="28"/>
          <w:lang w:val="es-MX"/>
        </w:rPr>
        <w:t>38</w:t>
      </w:r>
      <w:r>
        <w:rPr>
          <w:rFonts w:ascii="Times New Roman" w:hAnsi="Times New Roman"/>
          <w:sz w:val="20"/>
          <w:szCs w:val="28"/>
          <w:lang w:val="es-MX"/>
        </w:rPr>
        <w:t>(3), 237-251.</w:t>
      </w:r>
    </w:p>
    <w:sectPr>
      <w:headerReference w:type="default" r:id="rId2"/>
      <w:type w:val="nextPage"/>
      <w:pgSz w:w="11906" w:h="16838"/>
      <w:pgMar w:left="1417" w:right="1417" w:header="567" w:top="110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jc w:val="center"/>
      <w:rPr>
        <w:rFonts w:ascii="Times New Roman" w:hAnsi="Times New Roman"/>
        <w:i/>
        <w:i/>
        <w:color w:val="4472C4"/>
        <w:lang w:val="en-US"/>
      </w:rPr>
    </w:pPr>
    <w:r>
      <w:rPr>
        <w:rFonts w:ascii="Times New Roman" w:hAnsi="Times New Roman"/>
        <w:i/>
        <w:color w:val="4472C4"/>
        <w:lang w:val="en-US"/>
      </w:rPr>
      <w:t>M-fed Conference &amp; Workshop 2021, Paris MNHN</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MX"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MX"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530a5"/>
    <w:pPr>
      <w:widowControl/>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e530a5"/>
    <w:rPr>
      <w:rFonts w:ascii="Calibri" w:hAnsi="Calibri" w:eastAsia="Calibri" w:cs="Times New Roman"/>
      <w:lang w:val="fr-FR"/>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Entte">
    <w:name w:val="Header"/>
    <w:basedOn w:val="Normal"/>
    <w:link w:val="EncabezadoCar"/>
    <w:uiPriority w:val="99"/>
    <w:unhideWhenUsed/>
    <w:rsid w:val="00e530a5"/>
    <w:pPr>
      <w:tabs>
        <w:tab w:val="clear" w:pos="708"/>
        <w:tab w:val="center" w:pos="4536" w:leader="none"/>
        <w:tab w:val="right" w:pos="9072" w:leader="none"/>
      </w:tabs>
      <w:spacing w:lineRule="auto" w:line="240" w:before="0" w:after="0"/>
    </w:pPr>
    <w:rPr/>
  </w:style>
  <w:style w:type="paragraph" w:styleId="ListParagraph">
    <w:name w:val="List Paragraph"/>
    <w:basedOn w:val="Normal"/>
    <w:uiPriority w:val="34"/>
    <w:qFormat/>
    <w:rsid w:val="000a4ba0"/>
    <w:pPr>
      <w:spacing w:before="0" w:after="200"/>
      <w:ind w:left="720" w:hanging="0"/>
      <w:contextualSpacing/>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LibreOffice/6.2.5.2$Windows_X86_64 LibreOffice_project/1ec314fa52f458adc18c4f025c545a4e8b22c159</Application>
  <Pages>1</Pages>
  <Words>530</Words>
  <Characters>3037</Characters>
  <CharactersWithSpaces>3542</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2021-07-15T17:10:00Z</dcterms:created>
  <dc:creator>Bernardo Aguila</dc:creator>
  <dc:description/>
  <dc:language>fr-FR</dc:language>
  <cp:lastModifiedBy/>
  <dcterms:modified xsi:type="dcterms:W3CDTF">2021-09-15T18:57:19Z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